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Yash Highvoltage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transformer-bushing maker with a genuinely corroborated global shortage catalyst and real FY26 growth — but weak cash conversion, ~75x earnings and steady promoter selling temper the case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Yash High Voltage manufactures RIP (resin-impregnated-paper, ~83% of value mix) and OIP (oil-impregnated-paper) high-voltage transformer bushings — a small but critical, highly specialized transformer component (5-8% of transformer cost) with only ~12-13 global manufacturers. It listed on BSE SME in Dec 2024 and is building a Rs 153 Cr greenfield facility at Vadodara (part-funded by a Rs 151 Cr June-2026 preferential raise of equity + warrants at Rs 721) to move up to 550kV bushings and localize capacitive-core (RIP/RIS) production currently imported. Trial production is targeted for H1 FY27, commercial RIP output for H2 FY27 (October).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2,947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~24% / ~29%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profit CAGR</w:t>
            </w:r>
          </w:p>
        </w:tc>
        <w:tc>
          <w:tcPr>
            <w:tcW w:type="dxa" w:w="5800"/>
          </w:tcPr>
          <w:p>
            <w:r>
              <w:t xml:space="preserve">58.2%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growth</w:t>
            </w:r>
          </w:p>
        </w:tc>
        <w:tc>
          <w:tcPr>
            <w:tcW w:type="dxa" w:w="5800"/>
          </w:tcPr>
          <w:p>
            <w:r>
              <w:t xml:space="preserve">Sales +57% (Rs 235 Cr), PAT +75% (Rs 37.3 Cr), order book Rs 400 Cr (+166%)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Rs 38 Cr (up from Rs 7 Cr in FY24); D/E still low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~75x (rich)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247 - 873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Top-line execution is genuinely strong: FY26 revenue Rs 235.2 Cr (+57% YoY), EBITDA Rs 60.4 Cr (25.7% margin, +75%), PAT Rs 37.3 Cr (+75%), highest-ever 7,272 bushing units sold (5,752 in FY25), order book Rs 400 Cr as of Mar-2026 (up 166% from Rs 150 Cr). Capital efficiency is good (ROE ~24%, ROCE ~29%). Management's FY27 guidance is to invoice Rs 360-400 Cr (i.e. ~55-70% growth) at ~24-25% EBITDA margin while the new factory ramps, with commercial RIP production from H2 FY27. However, the primary-document read surfaces three things the sentiment pass did not weight: (1) cash conversion is weak and deteriorating — operating cash flow was Rs 14 Cr (FY24), Rs 10 Cr (FY25), Rs 9 Cr (FY26) even as PAT tripled, and FY26 free cash flow was roughly -Rs 50 Cr as capex and working capital absorbed cash (WC days ~69, debtor days ~47); (2) valuation has re-rated to ~75x trailing earnings on a ~Rs 2,947 Cr market cap; (3) promoter holding has drifted from 57.94% (Mar-2026) to 54.79% (Aug-2026), a mix of the Rs 151 Cr preferential issue to non-promoters, a post-listing 'acquirer' group selling ~2.27% in the open market, and an earlier small promoter open-market sale — not a collapse, but a persistent bleed. Borrowings have risen from Rs 7 Cr (FY24) to Rs 38 Cr (FY26) to fund the greenfield, still modest against equity.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+ 15-May-2026 FY26 investor earnings call coverage; FY24/FY25 comparatives via screener.in and financial press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trend Q1 FY26 -&gt; Q4 FY26 (Q1 FY27 print not yet located); FY27 management guidance commentary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Jun-Aug 2026: Rs 151 Cr preferential issue + allotment, acquirer-group open-market sale, greenfield expansion updates, FY26 dividend, Cooper Investors analyst visit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235.2 Cr (+57% YoY), EBITDA Rs 60.4 Cr (25.7% margin), PAT Rs 37.3 Cr (+75%); 7,272 bushing units sold vs 5,752 in FY25; RIP ~83% of value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~24%, ROCE ~29% — capital efficiency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weak: operating cash flow Rs 14 Cr (FY24) -&gt; Rs 10 Cr (FY25) -&gt; Rs 9 Cr (FY26) despite PAT rising from Rs 12 Cr to Rs 37 Cr; FY26 free cash flow roughly -Rs 50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Rs 7 Cr (FY24) -&gt; Rs 24 Cr (FY25) -&gt; Rs 38 Cr (FY26) to fund the Rs 153 Cr Vadodara greenfield; absolute debt still modest vs equity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~69 days, debtor days ~47 (Mar-2026) — not extreme, but WC + capex are absorbing all of profit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400 Cr as of 31-Mar-2026, up 166% from Rs 150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sequential ramp through FY26: ~Rs 57 Cr / ~Rs 93 Cr / ~Rs 100 Cr / ~Rs 136 Cr revenue across the four quarters; Q4 FY26 PAT ~Rs 24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guidance: invoice Rs 360-400 Cr (~55-70% growth), sustain ~24-25% EBITDA margin during the factory ramp, commercial RIP production from H2 FY27 (October)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(June 2026) results not located this pass — open item for the next 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Greenfield: entered final execution phase, trial production targeted H1 FY27, commissioning targeted around Q1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 2026: board and shareholders approved a ~Rs 151 Cr preferential issue — 12,62,131 equity shares + 8,32,177 warrants at Rs 721 — to non-promoters; allotment completed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post-listing 'acquirer' group sold ~2.27% via open market; management sold 1.81 lakh shares after the FY26 concall; promoter holding 54.79% (Aug-2026) vs 57.94% (Mar-2026)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final dividend Rs 1.40/share, record date 27-Aug-2026; 24th AGM same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hosted Cooper Investors (Australian equities manager) for a physical plant visit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that qualifies as a red-flag corporate action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has actually declined in absolute terms (Rs 14 Cr -&gt; Rs 9 Cr) across FY24-FY26 while PAT tripled — FY26 free cash flow roughly -Rs 50 Cr; the prior write-up did not flag cash conversion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re-rated to ~75x trailing earnings on a ~Rs 2,947 Cr market cap (vs ~Rs 2,113 Cr in the prior write-up)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Promoter/acquirer holding has fallen ~3 points to ~55% via preferential dilution + open-market selling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is now company-specific: Rs 360-400 Cr invoicing, ~24-25% EBITDA, commercial RIP output 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has risen to Rs 38 Cr (from Rs 7 Cr two years ago) to fund the greenfield — still low, but a trend to watch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operating cash flow inflect positively in FY27, or does the working-capital + capex drag persist?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revenue/PAT and whether the FY27 Rs 360-400 Cr invoicing guide is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 commissioning and trial-production timing — any slippage from H1 FY27?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promoter/acquirer selling continue, and does the warrant conversion (at Rs 721) further shift the cap table?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Yash secure a technical partner for the 550kV segment, and win any export share against Hitachi/Trench/GE?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Medium-High. The bushing-shortage catalyst is still well-corroborated and FY26 growth plus FY27 guidance are real, but the primary documents expose weak and declining cash conversion (FY26 FCF ~-Rs 50 Cr), a ~75x earnings multiple after further re-rating, and a steady ~3-point slide in promoter/acquirer holding — enough to step conviction down one notch from the prior batch-topping High.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pass; 52-week range Rs 247-873 shows a very wide swing typical of a small, recently-listed SME stock.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Newer but very well-documented thread (since Dec 2025) built around a specific, credible structural catalyst: multiple independent company concalls (Quality Power/QPOWER Feb 2026, Apar/TARIL, KEC) have flagged a global 'structural shortage' of high-voltage bushings, driven by AI-datacenter power-density demand plus broader grid/transmission capex, with several posters independently corroborating the same bottleneck from different angles (community member Manik_Gupta tracked this across three separate company concalls). phreakv6 — this project's most-trusted user — wrote a dedicated piece on Yash, referenced directly in-thread.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The thread contains an unusually high density of cross-verified, concall-sourced evidence for the core thesis (bushing shortage) rather than speculation — three independent company managements (Quality Power, Apar/TARIL, KEC) corroborating the same supply bottleneck from the buyer side is a stronger signal than typical forum chatter.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2025-06-17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 (own thread))</w:t>
      </w:r>
      <w:r>
        <w:rPr>
          <w:sz w:val="20"/>
          <w:szCs w:val="20"/>
        </w:rPr>
        <w:br/>
        <w:t xml:space="preserve">: "I own a small pos here from 750 levels" — detailed thesis on RIP/OIP bushing market and backward integration into RIP cores. A smaller position than phreakv6's core four holdings (Sai/Aeroflex/Mtar/TD), but a genuine, researched conviction call from this project's most heavily-trusted source. Source of this stock's trusted-thread queueing. No formal conviction floor is active for this stock.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action found. Rs 151 Cr preferential issue (12,62,131 equity shares + 8,32,177 warrants at Rs 721) approved June 2026 and allotted to non-promoters. Post-listing 'acquirer' group sold ~2.27% in the open market; management sold 1.81 lakh shares shortly after the FY26 concall. Promoter holding 54.79% as of Aug-2026 (from 57.94% Mar-2026). Final dividend Rs 1.40/share for FY26 (record date 27-Aug-2026). Analyst plant visit hosted for Cooper Investors (Aug 2026).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genuine, multi-source-corroborated global structural shortage of high-voltage bushings (AI-datacenter and grid-capex driven), independently confirmed across three unrelated companies' concalls — not just Yash's own claims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FY26 growth (revenue +57%, PAT +75%, units +26%) with an order book up 166% to Rs 400 Cr and explicit FY27 invoicing guidance of Rs 360-400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Good capital efficiency (~24% ROE, ~29% ROCE) and still-low absolute debt (Rs 38 Cr) despite the greenfield build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small market cap with a narrow global competitive set (~12-13 players) and high certification barriers — a genuine picks-and-shovels niche; 550kV / in-house RIP-core capacity due H1-H2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phreakv6, this project's most heavily-trusted community voice, has held a personally-researched position since 2025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is weak and deteriorating — operating cash flow fell from Rs 14 Cr (FY24) to Rs 9 Cr (FY26) while PAT tripled, and FY26 free cash flow was roughly -Rs 50 Cr; profit is not yet turning into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re-rated to ~75x trailing earnings (~Rs 2,947 Cr market cap) — the growth is largely priced in and a ramp stumble would de-rate sharply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/ acquirer holding has bled from ~58% to ~55% in months (preferential dilution + open-market selling by the acquirer group and management) — not a collapse, but a persistent negative drip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SME-listing scale means thinner disclosure and lower liquidity; execution risk on the new 550kV / in-house capacitive-core line is real and the company still lacks a technical partner for the higher-voltage segment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Larger global players (Hitachi, Trench, GE) are expanding bushing capacity, which could compress the shortage tailwind; a skeptical poster (Rushin_Shah) questioned Yash's ability to win export share against entrenched incumbents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2,947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 — small market cap plus a genuinely corroborated structural demand catalyst and real growth keep the classification, but ~75x earnings and weak cash conversion make a literal near-term 10x a stretch; treat as a multi-year rather than 2-3-year multibagger case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The catalyst corroboration and FY26 growth are real, but the deep read exposes weak cash conversion, a ~75x multiple and steady promoter selling — conviction eases from High to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catalyst (global bushing shortage) remains the strongest part of the thesis — independently corroborated across multiple unrelated companies' concalls, not just Yash's own claims — and FY26 growth (revenue +57%, PAT +75%, order book +166% to Rs 400 Cr) plus FY27 guidance of Rs 360-400 Cr invoicing are genuine, not projected.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primary-document pass surfaces three offsets the sentiment pass under-weighted: (1) operating cash flow has fallen (Rs 14 Cr -&gt; Rs 9 Cr FY24-FY26) while PAT tripled, with FY26 free cash flow around -Rs 50 Cr; (2) valuation has re-rated to ~75x trailing earnings; (3) promoter/acquirer holding has slipped from ~58% to ~55% via preferential dilution and open-market selling.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None of these is a red flag — debt is still low (Rs 38 Cr), the selling is not a collapse, and the capex is a deliberate growth investment — but together they remove the basis for the previous 'highest-conviction call in the batch / High' rating.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trusted_conviction_floor_active is not set for this stock, so phreakv6's 'small position' mention adds weight but does not impose a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High -&gt; Medium-High. Flagged for continued 30-day revisit given no red flag and thesis fit is not 'neither'; the Q1/Q2 FY27 cash-flow trend and the greenfield ramp are the key watch items.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2026-08-30T06:45:20.232Z</dcterms:created>
  <dcterms:modified xsi:type="dcterms:W3CDTF">2026-08-30T06:45:20.238Z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