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Zaggle Prepaid Ocean Services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High-growth fintech SaaS platform with real cash-flow, receivables, and communication concerns actively debated by the community this quarter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Zaggle is a corporate expense-management and prepaid-card fintech SaaS platform (Propel, Zoyer, Save, Dice) serving enterprise clients with spend-management and employee-benefits products.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2,700-2,832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10.4% / 15.23% (weak trailing)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80.3% (vs 2.48% industry median) -- but decelerating: latest quarter +27.5%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(Apr-Jun 2026)</w:t>
            </w:r>
          </w:p>
        </w:tc>
        <w:tc>
          <w:tcPr>
            <w:tcW w:type="dxa" w:w="5800"/>
          </w:tcPr>
          <w:p>
            <w:r>
              <w:t xml:space="preserve">Revenue Rs 423 Cr (+27.5% YoY), net profit Rs 18 Cr (-32.9% YoY) on one-time Dice-integration costs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Historical revenue growth has been extremely high (80% CAGR) but has decelerated sharply to 27.5% YoY in the latest quarter, with net profit actually down 32.9% YoY on integration costs and a deliberate stop to capitalizing development costs. Trailing ROE is weak (10.4%) for a supposed high-growth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posts (#396-447) of a 447-post thread, spanning Apr-Aug 2026 -- covers the entire post-Q1-FY27-results discussion window.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firefueled (May 2026) flagged negative operating cash flow (~-Rs 6 Cr standalone) despite strong revenue growth, and trade receivables nearly tripling (Rs 40 Cr to Rs 129 Cr) -- a genuine working-capital concern. rosenmund (Jun-Aug 2026, non-trusted but detailed) laid out a structural bull case around improving cashback/incentive economics (currently ~66-67% of program fees paid out as cashback, management guiding to 50% over 5 years) but flagged FII holders dropping from 74 to 52 in the March 2026 quarter. anna (repeat poster, non-trusted) repeatedly criticized management's investor communication as poor, including a delayed/unclear CFO appointment disclosure. shyamutty (trusted, elevated-tier) flagged the Q1 FY27 profit decline (Rs 26 Cr to Rs 17-18 Cr QoQ) despite revenue growth, attributing it to one-time Dice integration costs, relocation expenses, and the accounting change on development-cost capitalization.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Still-strong revenue growth (27.5% YoY latest quarter, far above industry median) in a genuine structural SaaS/fintech niche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has guided to structurally lower cashback payout ratios over the next 5 years, which would materially improve unit economics if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size (~Rs 2,700-2,800 Cr) leaves real re-rating room if execution improves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current cash-flow concern: negative operating cash flow alongside sharply rising receivables -- growth is not yet converting to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deceleration from historical 80% CAGR to 27.5% YoY, with profit actually declining YoY in the latest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Repeated, specific community criticism of investor communication quality and disclosure practices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Foreign institutional holders have been exiting (74 to 52 holders in one quarter)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2,700-2,832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growth business with genuine cash-conversion and governance-communication concerns actively debated by the community this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remains well above industry median even after deceleration, but the combination of negative operating cash flow, sharply rising receivables, and a profit decline in the latest quarter are real, current red flags on execution quality, not just noise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AVOID/EXCLUDE-tier red flag (no negative net worth or SEBI action), but the pattern of concerns (cash flow, receivables, communication, FII exits) is broad enough to keep conviction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fit is unconfirmed 10x-in-2-3-years given the small-cap size and real structural growth niche, but conviction is Low given the multiple concurrent execution concerns raised independently by several community members this quarter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2026-08-23T08:08:06.944Z</dcterms:created>
  <dcterms:modified xsi:type="dcterms:W3CDTF">2026-08-23T08:08:06.944Z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