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Zaggle Prepaid Ocean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High-growth fintech-SaaS spend-management platform still winning marquee logos, but a third straight quarter of profit pressure and unresolved cash-conversion concerns keep conviction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B2B spend-management / employee-benefits SaaS (Zaggle Save, Propel, expense management) for enterprises; grows via direct sales plus acquisitions (Dice, Unobanc stake).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2,230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Rs 423 Cr, +27.5%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Rs 17.5 Cr, -33%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adj EBITDA margin</w:t>
            </w:r>
          </w:p>
        </w:tc>
        <w:tc>
          <w:tcPr>
            <w:tcW w:type="dxa" w:w="5800"/>
          </w:tcPr>
          <w:p>
            <w:r>
              <w:t xml:space="preserve">8.2% vs 10.1%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~15.2% / ~8.5%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5800"/>
          </w:tcPr>
          <w:p>
            <w:r>
              <w:t xml:space="preserve">5-yr Zaggle Save agreement with Crompton Greaves Consumer (usage-linked, value not quantifiable)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still well above the industry median (+27.5% YoY) but Q1 FY27 PAT fell 33% and adjusted EBITDA margin compressed to 8.2%, which management attributes to one-time Dice acquisition costs (transaction fees, vendor payments, relocation). The prior read's cash-flow / rising-receivables / investor-communication concerns have not been resolved. The Crompton Greaves 5-year deal is a real logo win but carries no quantifiable contract value.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new post (#448, shyamutty, elevated tier): Vijay Kedia's Kedia Securities bought ~20 lakh shares via a bulk deal at ~Rs 164.72 - a marquee-investor entry, reported not endorsed. Otherwise the prior debate (cash flow, receivables, disclosure quality, FII exits) stands.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shyamutty (elevated) flagged the Kedia bulk deal without a personal call. No trusted-roster buy conviction; prior concerns from firefueled / anna / rosenmund remain on the table.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2026-08-24 — shyamutty</w:t>
      </w:r>
      <w:r>
        <w:rPr>
          <w:i/>
          <w:iCs/>
          <w:color w:val="666666"/>
          <w:sz w:val="18"/>
          <w:szCs w:val="18"/>
        </w:rPr>
        <w:t xml:space="preserve"> (Zaggle_A platform to address pain points for enterprises)</w:t>
      </w:r>
      <w:r>
        <w:rPr>
          <w:sz w:val="20"/>
          <w:szCs w:val="20"/>
        </w:rPr>
        <w:br/>
        <w:t xml:space="preserve">: Reported Kedia Securities' ~20 lakh-share bulk-deal purchase at ~Rs 164.72 - information share, not a personal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still compounding ~27-28% with a large structural SaaS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logo additions (Crompton Greaves 5-yr) and marquee-investor entry (Kedia)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AVOID/EXCLUDE red flag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 consecutive quarter of profit pressure; Q1 FY27 PAT -33% YoY even if partly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conversion, rising receivables and investor-communication concerns from the prior read remain unaddressed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Crompton deal has no quantifiable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 FII holder attrition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Crompton Greaves deal is a genuine logo win but unquantified, and Q1 FY27 shows profit still under pressure - thesis_fit 10x-in-2-3-years (unconfirmed) at Low conviction, unchanged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Crompton Greaves 5-year Zaggle Save agreement is verified but explicitly has no determinable contract value, so it does not by itself move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(PAT -33% YoY, margin 8.2%) confirms the execution-quality concerns from the prior read rather than dispelling them, even allowing for one-time Dice costs; the Kedia Securities bulk-deal entry is a mild offsetting positive.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change: thesis_fit 10x-in-2-3-years kept as unconfirmed on the small-cap size and structural niche; conviction Low given the recurring cash-conversion and disclosure concerns. No red flag; no 30-day revisit.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2026-09-01T18:57:35.013Z</dcterms:created>
  <dcterms:modified xsi:type="dcterms:W3CDTF">2026-09-01T18:57:35.014Z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