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Capacit'e Infraprojects Ltd</w:t>
      </w:r>
    </w:p>
    <w:p>
      <w:pPr>
        <w:pBdr>
          <w:bottom w:val="single" w:color="CCCCCC" w:sz="6" w:space="8"/>
        </w:pBdr>
        <w:spacing w:after="200"/>
      </w:pPr>
      <w:r>
        <w:rPr>
          <w:i/>
          <w:iCs/>
          <w:color w:val="666666"/>
          <w:sz w:val="22"/>
          <w:szCs w:val="22"/>
        </w:rPr>
        <w:t xml:space="preserve">Cheap-vs-peers EPC contractor with a 5x-revenue order book and a de-pledging promoter, working through a temporary commodity-cost margin squeeze and a fresh receivables flag</w:t>
      </w:r>
    </w:p>
    <w:p>
      <w:pPr>
        <w:pStyle w:val="Heading1"/>
        <w:spacing w:after="120" w:before="280"/>
      </w:pPr>
      <w:r>
        <w:t xml:space="preserve">Business Overview</w:t>
      </w:r>
    </w:p>
    <w:p>
      <w:pPr>
        <w:spacing w:after="120"/>
      </w:pPr>
      <w:r>
        <w:t xml:space="preserve">Capacit'e Infraprojects is an EPC (engineering, procurement, construction) contractor specializing in turnkey solutions for housing, high-rises, super high-rises, specialty buildings, and urban infrastructure.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1,742 Cr</w:t>
            </w:r>
          </w:p>
        </w:tc>
      </w:tr>
      <w:tr>
        <w:tc>
          <w:tcPr>
            <w:tcW w:type="dxa" w:w="3200"/>
            <w:shd w:fill="F2F2F2" w:val="clear"/>
          </w:tcPr>
          <w:p>
            <w:r>
              <w:rPr>
                <w:b/>
                <w:bCs/>
              </w:rPr>
              <w:t xml:space="preserve">Trailing P/E</w:t>
            </w:r>
          </w:p>
        </w:tc>
        <w:tc>
          <w:tcPr>
            <w:tcW w:type="dxa" w:w="5800"/>
          </w:tcPr>
          <w:p>
            <w:r>
              <w:t xml:space="preserve">~9.0x (screener.in, Sep 2026) vs. mid-cap civil construction peers at 15-22x</w:t>
            </w:r>
          </w:p>
        </w:tc>
      </w:tr>
      <w:tr>
        <w:tc>
          <w:tcPr>
            <w:tcW w:type="dxa" w:w="3200"/>
            <w:shd w:fill="F2F2F2" w:val="clear"/>
          </w:tcPr>
          <w:p>
            <w:r>
              <w:rPr>
                <w:b/>
                <w:bCs/>
              </w:rPr>
              <w:t xml:space="preserve">P/B</w:t>
            </w:r>
          </w:p>
        </w:tc>
        <w:tc>
          <w:tcPr>
            <w:tcW w:type="dxa" w:w="5800"/>
          </w:tcPr>
          <w:p>
            <w:r>
              <w:t xml:space="preserve">0.86x (Book Value ~Rs 226/share)</w:t>
            </w:r>
          </w:p>
        </w:tc>
      </w:tr>
      <w:tr>
        <w:tc>
          <w:tcPr>
            <w:tcW w:type="dxa" w:w="3200"/>
            <w:shd w:fill="F2F2F2" w:val="clear"/>
          </w:tcPr>
          <w:p>
            <w:r>
              <w:rPr>
                <w:b/>
                <w:bCs/>
              </w:rPr>
              <w:t xml:space="preserve">FY26 Revenue/PAT</w:t>
            </w:r>
          </w:p>
        </w:tc>
        <w:tc>
          <w:tcPr>
            <w:tcW w:type="dxa" w:w="5800"/>
          </w:tcPr>
          <w:p>
            <w:r>
              <w:t xml:space="preserve">Rs 2,623-2,644 Cr (+12% YoY) / Rs 193 Cr (sources vary slightly on exact revenue)</w:t>
            </w:r>
          </w:p>
        </w:tc>
      </w:tr>
      <w:tr>
        <w:tc>
          <w:tcPr>
            <w:tcW w:type="dxa" w:w="3200"/>
            <w:shd w:fill="F2F2F2" w:val="clear"/>
          </w:tcPr>
          <w:p>
            <w:r>
              <w:rPr>
                <w:b/>
                <w:bCs/>
              </w:rPr>
              <w:t xml:space="preserve">Order book</w:t>
            </w:r>
          </w:p>
        </w:tc>
        <w:tc>
          <w:tcPr>
            <w:tcW w:type="dxa" w:w="5800"/>
          </w:tcPr>
          <w:p>
            <w:r>
              <w:t xml:space="preserve">Rs 13,535 Cr as of Jun 30, 2026 (~5.1x TTM revenue); FY27 order-inflow guidance Rs 4,500-5,000 Cr</w:t>
            </w:r>
          </w:p>
        </w:tc>
      </w:tr>
      <w:tr>
        <w:tc>
          <w:tcPr>
            <w:tcW w:type="dxa" w:w="3200"/>
            <w:shd w:fill="F2F2F2" w:val="clear"/>
          </w:tcPr>
          <w:p>
            <w:r>
              <w:rPr>
                <w:b/>
                <w:bCs/>
              </w:rPr>
              <w:t xml:space="preserve">Q1 FY27</w:t>
            </w:r>
          </w:p>
        </w:tc>
        <w:tc>
          <w:tcPr>
            <w:tcW w:type="dxa" w:w="5800"/>
          </w:tcPr>
          <w:p>
            <w:r>
              <w:t xml:space="preserve">Revenue Rs 629 Cr (+7% YoY), EBITDA margin 15.7% (down from 17.2%), PAT Rs 39.4 Cr (down from Rs 45.7 Cr) on a Rs 10 Cr commodity provision</w:t>
            </w:r>
          </w:p>
        </w:tc>
      </w:tr>
      <w:tr>
        <w:tc>
          <w:tcPr>
            <w:tcW w:type="dxa" w:w="3200"/>
            <w:shd w:fill="F2F2F2" w:val="clear"/>
          </w:tcPr>
          <w:p>
            <w:r>
              <w:rPr>
                <w:b/>
                <w:bCs/>
              </w:rPr>
              <w:t xml:space="preserve">Debtor days</w:t>
            </w:r>
          </w:p>
        </w:tc>
        <w:tc>
          <w:tcPr>
            <w:tcW w:type="dxa" w:w="5800"/>
          </w:tcPr>
          <w:p>
            <w:r>
              <w:t xml:space="preserve">151 days (vs historical 100-120 range); working capital days ~128</w:t>
            </w:r>
          </w:p>
        </w:tc>
      </w:tr>
      <w:tr>
        <w:tc>
          <w:tcPr>
            <w:tcW w:type="dxa" w:w="3200"/>
            <w:shd w:fill="F2F2F2" w:val="clear"/>
          </w:tcPr>
          <w:p>
            <w:r>
              <w:rPr>
                <w:b/>
                <w:bCs/>
              </w:rPr>
              <w:t xml:space="preserve">Promoter pledge</w:t>
            </w:r>
          </w:p>
        </w:tc>
        <w:tc>
          <w:tcPr>
            <w:tcW w:type="dxa" w:w="5800"/>
          </w:tcPr>
          <w:p>
            <w:r>
              <w:t xml:space="preserve">18.65% of promoter holding (Jun-2026), down from ~31.9%; management targeting zero by FY27-end</w:t>
            </w:r>
          </w:p>
        </w:tc>
      </w:tr>
    </w:tbl>
    <w:p>
      <w:pPr>
        <w:spacing w:after="100"/>
      </w:pPr>
    </w:p>
    <w:p>
      <w:pPr>
        <w:spacing w:after="120"/>
      </w:pPr>
      <w:r>
        <w:t xml:space="preserve">Trades meaningfully cheaper than mid-cap civil construction peers (~9.0x P/E vs. 15-22x, and below book value at 0.86x P/B) despite consistent double-digit revenue growth and a very large order book relative to revenue (~5.1x TTM). Q1 FY27 PAT declined YoY on a Rs 10 Cr commodity provision, which management guides to partially reverse in Q3/Q4 FY27 as government escalation-index reimbursement catches up to spot input costs. Revenue growth itself decelerated (FY26 +12% YoY annual -&gt; Q1 FY27 +7% YoY) on early-quarter labour shortages. Two new, previously-uncaptured facts this pass cut in opposite directions: promoters cut their pledge from ~32% to 18.65% of holding in a single quarter (genuine de-risking, targeting zero by FY27-end), while the FY26 statutory auditor issued a qualified opinion flagging ~Rs 66 Cr of receivables (Rs 11.56 Cr from a CIRP-insolvent party plus ~Rs 54.9 Cr under legal proceedings) as uncertain to recover -- consistent with, and now quantifying, the working-capital risk this file already flagged.</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2026-09-22.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Q1 FY27 concall/earnings-call coverage (GuruFocus, Yahoo Finance, Sahi News, multibagg.ai, scanx.trade)</w:t>
      </w:r>
    </w:p>
    <w:p>
      <w:pPr>
        <w:pStyle w:val="ListParagraph"/>
        <w:numPr>
          <w:ilvl w:val="0"/>
          <w:numId w:val="1"/>
        </w:numPr>
        <w:spacing w:after="60"/>
      </w:pPr>
      <w:r>
        <w:t xml:space="preserve">FY26 annual results + auditor qualification coverage (Whalesbook, realtynmore.com)</w:t>
      </w:r>
    </w:p>
    <w:p>
      <w:pPr>
        <w:pStyle w:val="ListParagraph"/>
        <w:numPr>
          <w:ilvl w:val="0"/>
          <w:numId w:val="1"/>
        </w:numPr>
        <w:spacing w:after="60"/>
      </w:pPr>
      <w:r>
        <w:t xml:space="preserve">BSE promoter pledge-release filings, Apr-Jun 2026 (realtynmore.com, bizzbuzz.news, constrofacilitator.com)</w:t>
      </w:r>
    </w:p>
    <w:p>
      <w:pPr>
        <w:pStyle w:val="ListParagraph"/>
        <w:numPr>
          <w:ilvl w:val="0"/>
          <w:numId w:val="1"/>
        </w:numPr>
        <w:spacing w:after="60"/>
      </w:pPr>
      <w:r>
        <w:t xml:space="preserve">screener.in consolidated financials, ratios, shareholding</w:t>
      </w:r>
    </w:p>
    <w:p>
      <w:pPr>
        <w:pStyle w:val="ListParagraph"/>
        <w:numPr>
          <w:ilvl w:val="0"/>
          <w:numId w:val="1"/>
        </w:numPr>
        <w:spacing w:after="60"/>
      </w:pPr>
      <w:r>
        <w:t xml:space="preserve">trendlyne.com shareholding pattern (quarterly promoter/pledge/FII/DII)</w:t>
      </w:r>
    </w:p>
    <w:p>
      <w:pPr>
        <w:pStyle w:val="ListParagraph"/>
        <w:numPr>
          <w:ilvl w:val="0"/>
          <w:numId w:val="1"/>
        </w:numPr>
        <w:spacing w:after="60"/>
      </w:pPr>
      <w:r>
        <w:t xml:space="preserve">BSE order-win coverage (Indus Co-operative Housing Society LoA, Apr-2026)</w:t>
      </w:r>
    </w:p>
    <w:p>
      <w:pPr>
        <w:spacing w:after="120"/>
      </w:pPr>
      <w:r>
        <w:rPr>
          <w:b/>
          <w:bCs/>
          <w:sz w:val="20"/>
          <w:szCs w:val="20"/>
        </w:rPr>
        <w:t xml:space="preserve">Annual-report findings (3-year view):</w:t>
      </w:r>
    </w:p>
    <w:p>
      <w:pPr>
        <w:pStyle w:val="ListParagraph"/>
        <w:numPr>
          <w:ilvl w:val="0"/>
          <w:numId w:val="1"/>
        </w:numPr>
        <w:spacing w:after="60"/>
      </w:pPr>
      <w:r>
        <w:t xml:space="preserve">FY26 (consolidated): revenue Rs2,623-2,644cr (+12% YoY, sources vary slightly), PAT ~Rs193cr, order book Rs13,498cr standalone (57% public/43% private) at FY26-end, growing to Rs13,535cr by Jun-2026</w:t>
      </w:r>
    </w:p>
    <w:p>
      <w:pPr>
        <w:pStyle w:val="ListParagraph"/>
        <w:numPr>
          <w:ilvl w:val="0"/>
          <w:numId w:val="1"/>
        </w:numPr>
        <w:spacing w:after="60"/>
      </w:pPr>
      <w:r>
        <w:t xml:space="preserve">Standalone Net Debt/Equity 0.25x (manageable), net operating cash flow improved to Rs224cr FY26</w:t>
      </w:r>
    </w:p>
    <w:p>
      <w:pPr>
        <w:pStyle w:val="ListParagraph"/>
        <w:numPr>
          <w:ilvl w:val="0"/>
          <w:numId w:val="1"/>
        </w:numPr>
        <w:spacing w:after="60"/>
      </w:pPr>
      <w:r>
        <w:t xml:space="preserve">NEW this pass: statutory auditors issued a qualified opinion on FY26 accounts flagging (a) Rs11.56cr trade receivables from a party under CIRP (insolvency) with uncertain recoverability, and (b) ~Rs54.9cr (Rs5,492.76 lakh) of long-standing receivables under legal proceedings -- together ~3.8% of market cap, a genuine incremental balance-sheet risk not previously captured in this file</w:t>
      </w:r>
    </w:p>
    <w:p>
      <w:pPr>
        <w:pStyle w:val="ListParagraph"/>
        <w:numPr>
          <w:ilvl w:val="0"/>
          <w:numId w:val="1"/>
        </w:numPr>
        <w:spacing w:after="60"/>
      </w:pPr>
      <w:r>
        <w:t xml:space="preserve">Promoters have been progressively de-pledging: released 35.5 lakh shares (10 lakh in May-2026, 25.5 lakh in Jun-2026), cutting pledge from ~31.9% to 18.65% of promoter holding, with a stated target of zero pledge by FY27-end</w:t>
      </w:r>
    </w:p>
    <w:p>
      <w:pPr>
        <w:pStyle w:val="ListParagraph"/>
        <w:numPr>
          <w:ilvl w:val="0"/>
          <w:numId w:val="1"/>
        </w:numPr>
        <w:spacing w:after="60"/>
      </w:pPr>
      <w:r>
        <w:t xml:space="preserve">Promoter holding itself has been flat at 31.69% for the last four disclosed quarters (Sep25-Jun26); it has declined from 43.79% at the 2018 IPO on a multi-year view, well outside this pass's recent-quarter window</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(Jun-2026): revenue Rs629cr (+7% YoY vs Rs589cr Q1 FY26) -- a deceleration from FY26's +12% annual pace, attributed by management to early-quarter labour shortages/project delays that normalised later in the quarter</w:t>
      </w:r>
    </w:p>
    <w:p>
      <w:pPr>
        <w:pStyle w:val="ListParagraph"/>
        <w:numPr>
          <w:ilvl w:val="0"/>
          <w:numId w:val="1"/>
        </w:numPr>
        <w:spacing w:after="60"/>
      </w:pPr>
      <w:r>
        <w:t xml:space="preserve">EBITDA margin fell to 15.7% (screener shows 16%) from 17.2% Q1 FY26; PAT Rs39.4cr vs Rs45.7cr (down ~14%), driven by an additional Rs10cr commodity-cost provision (non-ferrous metals spike not yet reflected in government inflation-escalation indices) -- this is the concall's own figure; the file's prior sentiment_summary cited a community estimate of Rs20cr, a discrepancy unresolved this pass</w:t>
      </w:r>
    </w:p>
    <w:p>
      <w:pPr>
        <w:pStyle w:val="ListParagraph"/>
        <w:numPr>
          <w:ilvl w:val="0"/>
          <w:numId w:val="1"/>
        </w:numPr>
        <w:spacing w:after="60"/>
      </w:pPr>
      <w:r>
        <w:t xml:space="preserve">Management guided that a substantial part of this provision should reverse in Q3/Q4 FY27 as escalation-index reimbursement catches up</w:t>
      </w:r>
    </w:p>
    <w:p>
      <w:pPr>
        <w:pStyle w:val="ListParagraph"/>
        <w:numPr>
          <w:ilvl w:val="0"/>
          <w:numId w:val="1"/>
        </w:numPr>
        <w:spacing w:after="60"/>
      </w:pPr>
      <w:r>
        <w:t xml:space="preserve">Trailing 6-quarter revenue (Rs cr, Mar25-&gt;Jun26): 671, 589, 646, 675, 712, 629 -- lumpy/project-driven, no clean smooth trend</w:t>
      </w:r>
    </w:p>
    <w:p>
      <w:pPr>
        <w:pStyle w:val="ListParagraph"/>
        <w:numPr>
          <w:ilvl w:val="0"/>
          <w:numId w:val="1"/>
        </w:numPr>
        <w:spacing w:after="60"/>
      </w:pPr>
      <w:r>
        <w:t xml:space="preserve">FY27 order-inflow guidance: Rs4,500-5,000cr, with management confident Q2 FY27 will exceed the upper band; pipeline cited at Rs22,000cr public + Rs5,000cr private sector</w:t>
      </w:r>
    </w:p>
    <w:p>
      <w:pPr>
        <w:spacing w:after="120"/>
      </w:pPr>
      <w:r>
        <w:rPr>
          <w:b/>
          <w:bCs/>
          <w:sz w:val="20"/>
          <w:szCs w:val="20"/>
        </w:rPr>
        <w:t xml:space="preserve">Exchange announcements (last 6 months):</w:t>
      </w:r>
    </w:p>
    <w:p>
      <w:pPr>
        <w:pStyle w:val="ListParagraph"/>
        <w:numPr>
          <w:ilvl w:val="0"/>
          <w:numId w:val="1"/>
        </w:numPr>
        <w:spacing w:after="60"/>
      </w:pPr>
      <w:r>
        <w:t xml:space="preserve">Apr-2026: Rs295cr LoA from Indus Co-operative Housing Society for a residential+commercial building at Wadala, Mumbai (stock +3.2% on the news) -- continued steady order inflow, consistent with order-book growth to Rs13,535cr by Jun-2026</w:t>
      </w:r>
    </w:p>
    <w:p>
      <w:pPr>
        <w:pStyle w:val="ListParagraph"/>
        <w:numPr>
          <w:ilvl w:val="0"/>
          <w:numId w:val="1"/>
        </w:numPr>
        <w:spacing w:after="60"/>
      </w:pPr>
      <w:r>
        <w:t xml:space="preserve">Apr-2026: promoters disclosed no fresh share encumbrance during FY25-26</w:t>
      </w:r>
    </w:p>
    <w:p>
      <w:pPr>
        <w:pStyle w:val="ListParagraph"/>
        <w:numPr>
          <w:ilvl w:val="0"/>
          <w:numId w:val="1"/>
        </w:numPr>
        <w:spacing w:after="60"/>
      </w:pPr>
      <w:r>
        <w:t xml:space="preserve">May-Jun 2026: promoter pledge released in two tranches (10L + 25.5L shares), cutting pledge to 18.65% of promoter holding</w:t>
      </w:r>
    </w:p>
    <w:p>
      <w:pPr>
        <w:pStyle w:val="ListParagraph"/>
        <w:numPr>
          <w:ilvl w:val="0"/>
          <w:numId w:val="1"/>
        </w:numPr>
        <w:spacing w:after="60"/>
      </w:pPr>
      <w:r>
        <w:t xml:space="preserve">FY26 results release (AGM 24-Jul-2026) carried the auditor's qualified opinion on receivables noted above</w:t>
      </w:r>
    </w:p>
    <w:p>
      <w:pPr>
        <w:pStyle w:val="ListParagraph"/>
        <w:numPr>
          <w:ilvl w:val="0"/>
          <w:numId w:val="1"/>
        </w:numPr>
        <w:spacing w:after="60"/>
      </w:pPr>
      <w:r>
        <w:t xml:space="preserve">No rating action, M&amp;A, buyback, or KMP/auditor-change news found in this window</w:t>
      </w:r>
    </w:p>
    <w:p>
      <w:pPr>
        <w:spacing w:after="120"/>
      </w:pPr>
      <w:r>
        <w:rPr>
          <w:b/>
          <w:bCs/>
          <w:sz w:val="20"/>
          <w:szCs w:val="20"/>
        </w:rPr>
        <w:t xml:space="preserve">Key new facts vs. the prior write-up:</w:t>
      </w:r>
    </w:p>
    <w:p>
      <w:pPr>
        <w:pStyle w:val="ListParagraph"/>
        <w:numPr>
          <w:ilvl w:val="0"/>
          <w:numId w:val="1"/>
        </w:numPr>
        <w:spacing w:after="60"/>
      </w:pPr>
      <w:r>
        <w:t xml:space="preserve">Auditor issued a qualified opinion on FY26 accounts over ~Rs66cr of receivables (Rs11.56cr from a CIRP-insolvent party + Rs54.9cr under legal proceedings) -- a new, not-previously-captured balance-sheet risk</w:t>
      </w:r>
    </w:p>
    <w:p>
      <w:pPr>
        <w:pStyle w:val="ListParagraph"/>
        <w:numPr>
          <w:ilvl w:val="0"/>
          <w:numId w:val="1"/>
        </w:numPr>
        <w:spacing w:after="60"/>
      </w:pPr>
      <w:r>
        <w:t xml:space="preserve">Q1 FY27 revenue growth decelerated to +7% YoY (from FY26's +12%), with EBITDA margin down 150bps to 15.7% on a Rs10cr commodity provision -- the concall's own provision figure is Rs10cr, not the Rs20cr the file's community-sourced sentiment_summary cited</w:t>
      </w:r>
    </w:p>
    <w:p>
      <w:pPr>
        <w:pStyle w:val="ListParagraph"/>
        <w:numPr>
          <w:ilvl w:val="0"/>
          <w:numId w:val="1"/>
        </w:numPr>
        <w:spacing w:after="60"/>
      </w:pPr>
      <w:r>
        <w:t xml:space="preserve">Promoter pledge cut from ~31.9% to 18.65% of promoter holding in the Jun-2026 quarter (35.5 lakh shares released), with a stated target of zero pledge by FY27-end -- a genuine de-risking positive</w:t>
      </w:r>
    </w:p>
    <w:p>
      <w:pPr>
        <w:pStyle w:val="ListParagraph"/>
        <w:numPr>
          <w:ilvl w:val="0"/>
          <w:numId w:val="1"/>
        </w:numPr>
        <w:spacing w:after="60"/>
      </w:pPr>
      <w:r>
        <w:t xml:space="preserve">Promoter holding stable at 31.69% across the last 4 disclosed quarters (no promoter-exit pattern alongside the pledge reduction)</w:t>
      </w:r>
    </w:p>
    <w:p>
      <w:pPr>
        <w:pStyle w:val="ListParagraph"/>
        <w:numPr>
          <w:ilvl w:val="0"/>
          <w:numId w:val="1"/>
        </w:numPr>
        <w:spacing w:after="60"/>
      </w:pPr>
      <w:r>
        <w:t xml:space="preserve">FY27 order-inflow guidance of Rs4,500-5,000cr reiterated with management confidence Q2 FY27 exceeds the upper band; a fresh Rs295cr order (Apr-2026) already adds to the Rs13,535cr order book</w:t>
      </w:r>
    </w:p>
    <w:p>
      <w:pPr>
        <w:pStyle w:val="ListParagraph"/>
        <w:numPr>
          <w:ilvl w:val="0"/>
          <w:numId w:val="1"/>
        </w:numPr>
        <w:spacing w:after="60"/>
      </w:pPr>
      <w:r>
        <w:t xml:space="preserve">Debtor days at 151 (working-capital days ~128), above the company's historical 100-120 day range -- corroborates the file's existing bear-case working-capital flag with a hard number</w:t>
      </w:r>
    </w:p>
    <w:p>
      <w:pPr>
        <w:pStyle w:val="ListParagraph"/>
        <w:numPr>
          <w:ilvl w:val="0"/>
          <w:numId w:val="1"/>
        </w:numPr>
        <w:spacing w:after="60"/>
      </w:pPr>
      <w:r>
        <w:t xml:space="preserve">Current multiple essentially unchanged: ~9.0x trailing P/E (8.99x per screener.in), 0.86x P/B</w:t>
      </w:r>
    </w:p>
    <w:p>
      <w:pPr>
        <w:spacing w:after="120"/>
      </w:pPr>
      <w:r>
        <w:rPr>
          <w:b/>
          <w:bCs/>
          <w:sz w:val="20"/>
          <w:szCs w:val="20"/>
        </w:rPr>
        <w:t xml:space="preserve">Open questions / what to watch:</w:t>
      </w:r>
    </w:p>
    <w:p>
      <w:pPr>
        <w:pStyle w:val="ListParagraph"/>
        <w:numPr>
          <w:ilvl w:val="0"/>
          <w:numId w:val="1"/>
        </w:numPr>
        <w:spacing w:after="60"/>
      </w:pPr>
      <w:r>
        <w:t xml:space="preserve">Rs10cr (concall) vs Rs20cr (VP-thread community estimate) commodity-provision figure discrepancy not reconciled this pass -- worth checking the FY26/Q1FY27 results PDF notes directly next pass</w:t>
      </w:r>
    </w:p>
    <w:p>
      <w:pPr>
        <w:pStyle w:val="ListParagraph"/>
        <w:numPr>
          <w:ilvl w:val="0"/>
          <w:numId w:val="1"/>
        </w:numPr>
        <w:spacing w:after="60"/>
      </w:pPr>
      <w:r>
        <w:t xml:space="preserve">No independent broker/consensus FY27-28 estimates found (no broker coverage surfaced in search) -- market_expectation remains a reverse-P/E + management-guidance construct, not consensus-validated</w:t>
      </w:r>
    </w:p>
    <w:p>
      <w:pPr>
        <w:pStyle w:val="ListParagraph"/>
        <w:numPr>
          <w:ilvl w:val="0"/>
          <w:numId w:val="1"/>
        </w:numPr>
        <w:spacing w:after="60"/>
      </w:pPr>
      <w:r>
        <w:t xml:space="preserve">RPT (related-party transaction) trend not verified this pass -- management_quality.rpt_trend left 'unclear'</w:t>
      </w:r>
    </w:p>
    <w:p>
      <w:pPr>
        <w:pStyle w:val="ListParagraph"/>
        <w:numPr>
          <w:ilvl w:val="0"/>
          <w:numId w:val="1"/>
        </w:numPr>
        <w:spacing w:after="60"/>
      </w:pPr>
      <w:r>
        <w:t xml:space="preserve">Peer debtor-days comparison not sourced this pass -- working_capital.sector_relative left 'unclear' rather than guessed</w:t>
      </w:r>
    </w:p>
    <w:p>
      <w:pPr>
        <w:pStyle w:val="ListParagraph"/>
        <w:numPr>
          <w:ilvl w:val="0"/>
          <w:numId w:val="1"/>
        </w:numPr>
        <w:spacing w:after="60"/>
      </w:pPr>
      <w:r>
        <w:t xml:space="preserve">Ultimate resolution/quantum of the ~Rs66cr auditor-flagged receivables (CIRP + legal) not tracked -- worth a specific follow-up next pass given it is a genuinely new, unresolved balance-sheet item</w:t>
      </w:r>
    </w:p>
    <w:p>
      <w:pPr>
        <w:spacing w:after="120" w:before="120"/>
      </w:pPr>
      <w:r>
        <w:rPr>
          <w:b/>
          <w:bCs/>
          <w:sz w:val="20"/>
          <w:szCs w:val="20"/>
        </w:rPr>
        <w:t xml:space="preserve">Conviction impact: </w:t>
      </w:r>
      <w:r>
        <w:rPr>
          <w:sz w:val="20"/>
          <w:szCs w:val="20"/>
        </w:rPr>
        <w:t xml:space="preserve">Conviction held at Low-Medium (no change this pass). Genuine new positives (promoter de-pledging to 18.65% of holding, continued order inflow, valuation essentially unchanged and still cheap) are offset by genuine new negatives (a fresh auditor qualification on ~Rs66cr of receivables, Q1 FY27 revenue growth decelerating to +7% YoY with margin still below FY26's run-rate, and elevated 151-day debtor days) -- net picture is not materially different from the pre-pass thesis, just more evidenced on both sides. market_expectation.evidence_quality downgraded from moderate to weak this pass (thesis-critical commitments are still guidance-stage, not yet delivered).</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FY27 order inflow of Rs4,500-5,000cr, Q2 expected to exceed upper band</w:t>
            </w:r>
          </w:p>
        </w:tc>
        <w:tc>
          <w:tcPr>
            <w:tcW w:type="dxa" w:w="2400"/>
          </w:tcPr>
          <w:p>
            <w:r>
              <w:rPr>
                <w:b w:val="false"/>
                <w:bCs w:val="false"/>
                <w:sz w:val="18"/>
                <w:szCs w:val="18"/>
              </w:rPr>
              <w:t xml:space="preserve">Rs22,000cr public + Rs5,000cr private sector pipeline cited</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Rs10cr Q1 FY27 commodity provision to substantially reverse</w:t>
            </w:r>
          </w:p>
        </w:tc>
        <w:tc>
          <w:tcPr>
            <w:tcW w:type="dxa" w:w="2400"/>
          </w:tcPr>
          <w:p>
            <w:r>
              <w:rPr>
                <w:b w:val="false"/>
                <w:bCs w:val="false"/>
                <w:sz w:val="18"/>
                <w:szCs w:val="18"/>
              </w:rPr>
              <w:t xml:space="preserve">non-ferrous metal cost spike vs lagged govt WPI/CPWD escalation-index reimbursement</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Zero promoter pledge by FY27-end</w:t>
            </w:r>
          </w:p>
        </w:tc>
        <w:tc>
          <w:tcPr>
            <w:tcW w:type="dxa" w:w="2400"/>
          </w:tcPr>
          <w:p>
            <w:r>
              <w:rPr>
                <w:b w:val="false"/>
                <w:bCs w:val="false"/>
                <w:sz w:val="18"/>
                <w:szCs w:val="18"/>
              </w:rPr>
              <w:t xml:space="preserve">35.5 lakh shares already released (pledge cut ~31.9% -&gt; 18.65% of promoter holding); ~50 lakh shares remaining</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order-book conversion (Rs13,535cr, ~5.1x revenue)</w:t>
      </w:r>
      <w:r>
        <w:rPr>
          <w:color w:val="666666"/>
          <w:sz w:val="20"/>
          <w:szCs w:val="20"/>
        </w:rPr>
        <w:t xml:space="preserve"> → </w:t>
      </w:r>
      <w:r>
        <w:rPr>
          <w:b w:val="false"/>
          <w:bCs w:val="false"/>
          <w:sz w:val="20"/>
          <w:szCs w:val="20"/>
        </w:rPr>
        <w:t xml:space="preserve">execution/labour mobilisation</w:t>
      </w:r>
      <w:r>
        <w:rPr>
          <w:color w:val="666666"/>
          <w:sz w:val="20"/>
          <w:szCs w:val="20"/>
        </w:rPr>
        <w:t xml:space="preserve"> → </w:t>
      </w:r>
      <w:r>
        <w:rPr>
          <w:b w:val="false"/>
          <w:bCs w:val="false"/>
          <w:sz w:val="20"/>
          <w:szCs w:val="20"/>
        </w:rPr>
        <w:t xml:space="preserve">input-cost pass-through vs escalation-index timing</w:t>
      </w:r>
      <w:r>
        <w:rPr>
          <w:color w:val="666666"/>
          <w:sz w:val="20"/>
          <w:szCs w:val="20"/>
        </w:rPr>
        <w:t xml:space="preserve"> → </w:t>
      </w:r>
      <w:r>
        <w:rPr>
          <w:b w:val="false"/>
          <w:bCs w:val="false"/>
          <w:sz w:val="20"/>
          <w:szCs w:val="20"/>
        </w:rPr>
        <w:t xml:space="preserve">EBITDA margin normalisation (15.7% -&gt; 16-17%)</w:t>
      </w:r>
      <w:r>
        <w:rPr>
          <w:color w:val="666666"/>
          <w:sz w:val="20"/>
          <w:szCs w:val="20"/>
        </w:rPr>
        <w:t xml:space="preserve"> → </w:t>
      </w:r>
      <w:r>
        <w:rPr>
          <w:b w:val="false"/>
          <w:bCs w:val="false"/>
          <w:sz w:val="20"/>
          <w:szCs w:val="20"/>
        </w:rPr>
        <w:t xml:space="preserve">PAT/FCF</w:t>
      </w:r>
    </w:p>
    <w:p>
      <w:pPr>
        <w:spacing w:after="120"/>
      </w:pPr>
      <w:r>
        <w:rPr>
          <w:color w:val="666666"/>
          <w:sz w:val="18"/>
          <w:szCs w:val="18"/>
        </w:rPr>
        <w:t xml:space="preserve">Bottleneck link: input-cost pass-through timing vs government escalation-index reimbursement (Q1 FY27's Rs10cr provision).</w:t>
      </w:r>
    </w:p>
    <w:p>
      <w:pPr>
        <w:spacing w:after="120"/>
      </w:pPr>
      <w:r>
        <w:rPr>
          <w:color w:val="666666"/>
          <w:sz w:val="18"/>
          <w:szCs w:val="18"/>
        </w:rPr>
        <w:t xml:space="preserve">Operating leverage: unclear — EPC margins here are being driven more by commodity-cost provisioning timing this pass than by a clean volume/fixed-cost leverage story</w:t>
      </w:r>
    </w:p>
    <w:p>
      <w:pPr>
        <w:spacing w:after="120"/>
      </w:pPr>
      <w:r>
        <w:rPr>
          <w:color w:val="666666"/>
          <w:sz w:val="18"/>
          <w:szCs w:val="18"/>
        </w:rPr>
        <w:t xml:space="preserve">Evidenced: order-book conversion (Rs13,535cr, ~5.1x revenue); Q1 FY27 Rs10cr commodity provision (already reported). Still assumed: execution/labour mobilisation normalising; margin reversal in Q3/Q4 FY27.</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2026-09-22</w:t>
            </w:r>
          </w:p>
        </w:tc>
      </w:tr>
      <w:tr>
        <w:tc>
          <w:tcPr>
            <w:tcW w:type="dxa" w:w="3200"/>
            <w:shd w:fill="F2F2F2" w:val="clear"/>
          </w:tcPr>
          <w:p>
            <w:r>
              <w:rPr>
                <w:b/>
                <w:bCs/>
              </w:rPr>
              <w:t xml:space="preserve">Price / multiple</w:t>
            </w:r>
          </w:p>
        </w:tc>
        <w:tc>
          <w:tcPr>
            <w:tcW w:type="dxa" w:w="5800"/>
          </w:tcPr>
          <w:p>
            <w:r>
              <w:t xml:space="preserve">Rs 194 · 9x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~9x trailing P/E and 0.86x book price in near-flat-to-low-single-digit earnings growth; getting to even the low end of the 15-22x civil-construction peer band needs the Rs13,535cr order book (~5.1x revenue) to convert at a normalised ~16-17% OPM over FY27-28</w:t>
            </w:r>
          </w:p>
        </w:tc>
      </w:tr>
      <w:tr>
        <w:tc>
          <w:tcPr>
            <w:tcW w:type="dxa" w:w="3200"/>
            <w:shd w:fill="F2F2F2" w:val="clear"/>
          </w:tcPr>
          <w:p>
            <w:r>
              <w:rPr>
                <w:b/>
                <w:bCs/>
              </w:rPr>
              <w:t xml:space="preserve">Our FY27</w:t>
            </w:r>
          </w:p>
        </w:tc>
        <w:tc>
          <w:tcPr>
            <w:tcW w:type="dxa" w:w="5800"/>
          </w:tcPr>
          <w:p>
            <w:r>
              <w:t xml:space="preserve">revenue ~Rs2,950-3,100 Cr (order-book conversion, though Q1 FY27's +7% YoY print is a slower start than FY26's +12%), OPM recovering toward 16-17% in H2 FY27 as the Rs10cr Q1 commodity provision partially reverses per management guidance, PAT ~Rs210-240 Cr</w:t>
            </w:r>
          </w:p>
        </w:tc>
      </w:tr>
      <w:tr>
        <w:tc>
          <w:tcPr>
            <w:tcW w:type="dxa" w:w="3200"/>
            <w:shd w:fill="F2F2F2" w:val="clear"/>
          </w:tcPr>
          <w:p>
            <w:r>
              <w:rPr>
                <w:b/>
                <w:bCs/>
              </w:rPr>
              <w:t xml:space="preserve">Our FY28</w:t>
            </w:r>
          </w:p>
        </w:tc>
        <w:tc>
          <w:tcPr>
            <w:tcW w:type="dxa" w:w="5800"/>
          </w:tcPr>
          <w:p>
            <w:r>
              <w:t xml:space="preserve">revenue ~Rs3,400-3,700 Cr, PAT ~Rs260-300 Cr, assuming FY27 order-inflow guidance (Rs4,500-5,000cr) converts on schedule and no repeat commodity-provisioning shock</w:t>
            </w:r>
          </w:p>
        </w:tc>
      </w:tr>
      <w:tr>
        <w:tc>
          <w:tcPr>
            <w:tcW w:type="dxa" w:w="3200"/>
            <w:shd w:fill="F2F2F2" w:val="clear"/>
          </w:tcPr>
          <w:p>
            <w:r>
              <w:rPr>
                <w:b/>
                <w:bCs/>
              </w:rPr>
              <w:t xml:space="preserve">Gap direction</w:t>
            </w:r>
          </w:p>
        </w:tc>
        <w:tc>
          <w:tcPr>
            <w:tcW w:type="dxa" w:w="5800"/>
          </w:tcPr>
          <w:p>
            <w:r>
              <w:t xml:space="preserve">underestimated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32% (our FY28 PAT vs implied)</w:t>
            </w:r>
          </w:p>
        </w:tc>
      </w:tr>
      <w:tr>
        <w:tc>
          <w:tcPr>
            <w:tcW w:type="dxa" w:w="3200"/>
            <w:shd w:fill="F2F2F2" w:val="clear"/>
          </w:tcPr>
          <w:p>
            <w:r>
              <w:rPr>
                <w:b/>
                <w:bCs/>
              </w:rPr>
              <w:t xml:space="preserve">Gap basis</w:t>
            </w:r>
          </w:p>
        </w:tc>
        <w:tc>
          <w:tcPr>
            <w:tcW w:type="dxa" w:w="5800"/>
          </w:tcPr>
          <w:p>
            <w:r>
              <w:t xml:space="preserve">~9x P/E / 0.86x book on a contractor with a 5.1x-revenue order book and a promoter that just cut pledge from ~32% to 18.65% of holding; base-case FY28 PAT (~Rs280cr) sits ~32% above a 'no re-rate, modest growth' bear case (~Rs212cr) that is roughly where the current price/multiple already sits -- but this pass's evidence for the margin-recovery leg is still guidance-stage, not yet delivered (see evidence_quality)</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Q3/Q4 FY27 print showing the Rs10cr commodity-provision reversal and FY27 order-inflow guidance (Rs4,500-5,000cr) tracking on schedule, confirming the margin-normalisation thesis</w:t>
      </w:r>
      <w:r>
        <w:rPr>
          <w:color w:val="666666"/>
          <w:sz w:val="18"/>
          <w:szCs w:val="18"/>
        </w:rPr>
        <w:t xml:space="preserve"> (window ~6M from 2026-09-22;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residential/institutional EPC contracting (private developers + public sector buildings)</w:t>
            </w:r>
          </w:p>
        </w:tc>
      </w:tr>
      <w:tr>
        <w:tc>
          <w:tcPr>
            <w:tcW w:type="dxa" w:w="3200"/>
            <w:shd w:fill="F2F2F2" w:val="clear"/>
          </w:tcPr>
          <w:p>
            <w:r>
              <w:rPr>
                <w:b/>
                <w:bCs/>
              </w:rPr>
              <w:t xml:space="preserve">This company's position</w:t>
            </w:r>
          </w:p>
        </w:tc>
        <w:tc>
          <w:tcPr>
            <w:tcW w:type="dxa" w:w="5800"/>
          </w:tcPr>
          <w:p>
            <w:r>
              <w:t xml:space="preserve">turnkey EPC contractor for high-rise/super-high-rise residential and institutional/public buildings</w:t>
            </w:r>
          </w:p>
        </w:tc>
      </w:tr>
      <w:tr>
        <w:tc>
          <w:tcPr>
            <w:tcW w:type="dxa" w:w="3200"/>
            <w:shd w:fill="F2F2F2" w:val="clear"/>
          </w:tcPr>
          <w:p>
            <w:r>
              <w:rPr>
                <w:b/>
                <w:bCs/>
              </w:rPr>
              <w:t xml:space="preserve">Bottleneck node (pricing power)</w:t>
            </w:r>
          </w:p>
        </w:tc>
        <w:tc>
          <w:tcPr>
            <w:tcW w:type="dxa" w:w="5800"/>
          </w:tcPr>
          <w:p>
            <w:r>
              <w:t xml:space="preserve">skilled labour mobilisation + input-cost pass-through timing via escalation clauses</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PSP Projects, NCC, J Kumar Infraprojects, Ahluwalia Contracts</w:t>
            </w:r>
          </w:p>
        </w:tc>
      </w:tr>
    </w:tbl>
    <w:p>
      <w:pPr>
        <w:spacing w:after="120"/>
      </w:pPr>
      <w:r>
        <w:rPr>
          <w:color w:val="666666"/>
          <w:sz w:val="18"/>
          <w:szCs w:val="18"/>
        </w:rPr>
        <w:t xml:space="preserve">Order book converts steadily but margin is a function of commodity-cost pass-through lag via government escalation indices, not scarce capacity; no major capacity add/exit signal found in the fragmented EPC industry this pass.</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order-book execution pace; input-cost (non-ferrous metal) pass-through timing lag vs escalation-index reimbursement; labour mobilisation.</w:t>
      </w:r>
    </w:p>
    <w:p>
      <w:pPr>
        <w:spacing w:after="120"/>
      </w:pPr>
      <w:r>
        <w:rPr>
          <w:color w:val="666666"/>
          <w:sz w:val="18"/>
          <w:szCs w:val="18"/>
        </w:rPr>
        <w:t xml:space="preserve">Q1 FY27 EBITDA margin of 15.7% is below the ~17% run-rate seen in several FY26 quarters, due to a Rs10cr one-off commodity provision -- this is a margin trough from a specific timing mismatch, not an inflated peak.</w:t>
      </w:r>
    </w:p>
    <w:p>
      <w:pPr>
        <w:spacing w:after="60" w:before="120"/>
      </w:pPr>
      <w:r>
        <w:rPr>
          <w:b/>
          <w:bCs/>
          <w:sz w:val="20"/>
          <w:szCs w:val="20"/>
        </w:rPr>
        <w:t xml:space="preserve">Growth trajectory: </w:t>
      </w:r>
      <w:r>
        <w:rPr>
          <w:b/>
          <w:bCs/>
          <w:color w:val="A32020"/>
          <w:sz w:val="20"/>
          <w:szCs w:val="20"/>
        </w:rPr>
        <w:t xml:space="preserve">YoY growth rate is decelerating</w:t>
      </w:r>
    </w:p>
    <w:p>
      <w:pPr>
        <w:spacing w:after="120"/>
      </w:pPr>
      <w:r>
        <w:rPr>
          <w:color w:val="666666"/>
          <w:sz w:val="18"/>
          <w:szCs w:val="18"/>
        </w:rPr>
        <w:t xml:space="preserve">Quarterly revenue (Rs cr), Mar25-&gt;Jun26: 671, 589, 646, 675, 712, 629 -- lumpy/project-driven. Annual FY26 revenue +12% YoY decelerated to +7% YoY in Q1 FY27 amid labour-shortage-related execution delays that management says normalised later in the quarter.</w:t>
      </w:r>
    </w:p>
    <w:p>
      <w:pPr>
        <w:spacing w:after="120"/>
      </w:pPr>
      <w:r>
        <w:rPr>
          <w:color w:val="666666"/>
          <w:sz w:val="18"/>
          <w:szCs w:val="18"/>
        </w:rPr>
        <w:t xml:space="preserve">Reverse P/E: A ~9x trailing P/E needs almost no growth to look 'fair' vs a depressed EPC multiple; even modest high-single/low-double-digit EPS growth from order-book conversion could support a re-rate toward peer multiples, but Q1 FY27's deceleration is a real near-term headwind to that thesis.</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EPC business with limited diversification; capital is mostly recycled into working capital/execution of the order book. No unrelated diversification found this pass. (neutral)</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15.5% (stable)</w:t>
            </w:r>
          </w:p>
        </w:tc>
      </w:tr>
      <w:tr>
        <w:tc>
          <w:tcPr>
            <w:tcW w:type="dxa" w:w="3200"/>
            <w:shd w:fill="F2F2F2" w:val="clear"/>
          </w:tcPr>
          <w:p>
            <w:r>
              <w:rPr>
                <w:b/>
                <w:bCs/>
              </w:rPr>
              <w:t xml:space="preserve">Leverage</w:t>
            </w:r>
          </w:p>
        </w:tc>
        <w:tc>
          <w:tcPr>
            <w:tcW w:type="dxa" w:w="5800"/>
          </w:tcPr>
          <w:p>
            <w:r>
              <w:t xml:space="preserve">Net debt/EBITDA 1.1x</w:t>
            </w:r>
          </w:p>
        </w:tc>
      </w:tr>
      <w:tr>
        <w:tc>
          <w:tcPr>
            <w:tcW w:type="dxa" w:w="3200"/>
            <w:shd w:fill="F2F2F2" w:val="clear"/>
          </w:tcPr>
          <w:p>
            <w:r>
              <w:rPr>
                <w:b/>
                <w:bCs/>
              </w:rPr>
              <w:t xml:space="preserve">FCF conversion</w:t>
            </w:r>
          </w:p>
        </w:tc>
        <w:tc>
          <w:tcPr>
            <w:tcW w:type="dxa" w:w="5800"/>
          </w:tcPr>
          <w:p>
            <w:r>
              <w:t xml:space="preserve">25%</w:t>
            </w:r>
          </w:p>
        </w:tc>
      </w:tr>
      <w:tr>
        <w:tc>
          <w:tcPr>
            <w:tcW w:type="dxa" w:w="3200"/>
            <w:shd w:fill="F2F2F2" w:val="clear"/>
          </w:tcPr>
          <w:p>
            <w:r>
              <w:rPr>
                <w:b/>
                <w:bCs/>
              </w:rPr>
              <w:t xml:space="preserve">Margin trend</w:t>
            </w:r>
          </w:p>
        </w:tc>
        <w:tc>
          <w:tcPr>
            <w:tcW w:type="dxa" w:w="5800"/>
          </w:tcPr>
          <w:p>
            <w:r>
              <w:t xml:space="preserve">stable</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6 of the last 10 years (consistency_score 60)</w:t>
      </w:r>
    </w:p>
    <w:p>
      <w:pPr>
        <w:spacing w:after="120"/>
      </w:pPr>
      <w:r>
        <w:rPr>
          <w:color w:val="666666"/>
          <w:sz w:val="18"/>
          <w:szCs w:val="18"/>
        </w:rPr>
        <w:t xml:space="preserve">FY17-FY26 screener consolidated. Both revenue growth &gt;=10% AND ROCE &gt;=15% in the same FY: FY17, FY18, FY19, FY23, FY25, FY26. FY20-FY21 collapsed on COVID (rev -15%, -42%); FY22 rebounded on revenue but ROCE only 10%; FY24 revenue grew just 7%. FY26 ROCE (15.5% per screener.in, Sep 2026) again just clears the 15% bar; recent ROCE has sat on a mid-teens plateau despite the 5x-revenue order book - EPC working-capital drag.</w:t>
      </w:r>
    </w:p>
    <w:p>
      <w:pPr>
        <w:pStyle w:val="Heading1"/>
        <w:spacing w:after="120" w:before="280"/>
      </w:pPr>
      <w:r>
        <w:t xml:space="preserve">Fundamentals-Gap Checks (shareholding · working capital · sector KPIs · scenario analysis)</w:t>
      </w:r>
    </w:p>
    <w:p>
      <w:pPr>
        <w:spacing w:after="120"/>
      </w:pPr>
      <w:r>
        <w:rPr>
          <w:i/>
          <w:iCs/>
          <w:color w:val="666666"/>
          <w:sz w:val="18"/>
          <w:szCs w:val="18"/>
        </w:rPr>
        <w:t xml:space="preserve">Extra fundamentals extracted from the same filings — informational only, not yet consumed by any scoring script.</w:t>
      </w:r>
    </w:p>
    <w:p>
      <w:pPr>
        <w:spacing w:after="120"/>
      </w:pPr>
      <w:r>
        <w:rPr>
          <w:b/>
          <w:bCs/>
          <w:sz w:val="20"/>
          <w:szCs w:val="20"/>
        </w:rPr>
        <w:t xml:space="preserve">Shareholding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Promoter %</w:t>
            </w:r>
          </w:p>
        </w:tc>
        <w:tc>
          <w:tcPr>
            <w:tcW w:type="dxa" w:w="5800"/>
          </w:tcPr>
          <w:p>
            <w:r>
              <w:t xml:space="preserve">31.69% (stable)</w:t>
            </w:r>
          </w:p>
        </w:tc>
      </w:tr>
      <w:tr>
        <w:tc>
          <w:tcPr>
            <w:tcW w:type="dxa" w:w="3200"/>
            <w:shd w:fill="F2F2F2" w:val="clear"/>
          </w:tcPr>
          <w:p>
            <w:r>
              <w:rPr>
                <w:b/>
                <w:bCs/>
              </w:rPr>
              <w:t xml:space="preserve">Pledge %</w:t>
            </w:r>
          </w:p>
        </w:tc>
        <w:tc>
          <w:tcPr>
            <w:tcW w:type="dxa" w:w="5800"/>
          </w:tcPr>
          <w:p>
            <w:r>
              <w:t xml:space="preserve">18.65% (falling)</w:t>
            </w:r>
          </w:p>
        </w:tc>
      </w:tr>
      <w:tr>
        <w:tc>
          <w:tcPr>
            <w:tcW w:type="dxa" w:w="3200"/>
            <w:shd w:fill="F2F2F2" w:val="clear"/>
          </w:tcPr>
          <w:p>
            <w:r>
              <w:rPr>
                <w:b/>
                <w:bCs/>
              </w:rPr>
              <w:t xml:space="preserve">FII/DII %</w:t>
            </w:r>
          </w:p>
        </w:tc>
        <w:tc>
          <w:tcPr>
            <w:tcW w:type="dxa" w:w="5800"/>
          </w:tcPr>
          <w:p>
            <w:r>
              <w:t xml:space="preserve">21.9% (stable)</w:t>
            </w:r>
          </w:p>
        </w:tc>
      </w:tr>
      <w:tr>
        <w:tc>
          <w:tcPr>
            <w:tcW w:type="dxa" w:w="3200"/>
            <w:shd w:fill="F2F2F2" w:val="clear"/>
          </w:tcPr>
          <w:p>
            <w:r>
              <w:rPr>
                <w:b/>
                <w:bCs/>
              </w:rPr>
              <w:t xml:space="preserve">Quarters checked</w:t>
            </w:r>
          </w:p>
        </w:tc>
        <w:tc>
          <w:tcPr>
            <w:tcW w:type="dxa" w:w="5800"/>
          </w:tcPr>
          <w:p>
            <w:r>
              <w:t xml:space="preserve">Sep2025, Dec2025, Mar2026, Jun2026</w:t>
            </w:r>
          </w:p>
        </w:tc>
      </w:tr>
    </w:tbl>
    <w:p>
      <w:pPr>
        <w:spacing w:after="120"/>
      </w:pPr>
      <w:r>
        <w:rPr>
          <w:color w:val="666666"/>
          <w:sz w:val="18"/>
          <w:szCs w:val="18"/>
        </w:rPr>
        <w:t xml:space="preserve">Promoter holding stable at 31.69% for four straight quarters; pledge collapsed from ~31.9% to 18.65% of promoter holding in the Jun-2026 quarter after a 35.5-lakh-share de-pledge, with management targeting zero pledge by FY27-end -- a genuine de-risking signal, not a promoter-exit pattern (promoter % is not falling alongside the pledge drop).</w:t>
      </w:r>
    </w:p>
    <w:p>
      <w:pPr>
        <w:spacing w:after="120"/>
      </w:pPr>
      <w:r>
        <w:rPr>
          <w:b/>
          <w:bCs/>
          <w:sz w:val="20"/>
          <w:szCs w:val="20"/>
        </w:rPr>
        <w:t xml:space="preserve">Working capital: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Inventory days</w:t>
            </w:r>
          </w:p>
        </w:tc>
        <w:tc>
          <w:tcPr>
            <w:tcW w:type="dxa" w:w="5800"/>
          </w:tcPr>
          <w:p>
            <w:r>
              <w:t xml:space="preserve">—</w:t>
            </w:r>
          </w:p>
        </w:tc>
      </w:tr>
      <w:tr>
        <w:tc>
          <w:tcPr>
            <w:tcW w:type="dxa" w:w="3200"/>
            <w:shd w:fill="F2F2F2" w:val="clear"/>
          </w:tcPr>
          <w:p>
            <w:r>
              <w:rPr>
                <w:b/>
                <w:bCs/>
              </w:rPr>
              <w:t xml:space="preserve">Receivable days</w:t>
            </w:r>
          </w:p>
        </w:tc>
        <w:tc>
          <w:tcPr>
            <w:tcW w:type="dxa" w:w="5800"/>
          </w:tcPr>
          <w:p>
            <w:r>
              <w:t xml:space="preserve">151</w:t>
            </w:r>
          </w:p>
        </w:tc>
      </w:tr>
      <w:tr>
        <w:tc>
          <w:tcPr>
            <w:tcW w:type="dxa" w:w="3200"/>
            <w:shd w:fill="F2F2F2" w:val="clear"/>
          </w:tcPr>
          <w:p>
            <w:r>
              <w:rPr>
                <w:b/>
                <w:bCs/>
              </w:rPr>
              <w:t xml:space="preserve">Payable days</w:t>
            </w:r>
          </w:p>
        </w:tc>
        <w:tc>
          <w:tcPr>
            <w:tcW w:type="dxa" w:w="5800"/>
          </w:tcPr>
          <w:p>
            <w:r>
              <w:t xml:space="preserve">—</w:t>
            </w:r>
          </w:p>
        </w:tc>
      </w:tr>
      <w:tr>
        <w:tc>
          <w:tcPr>
            <w:tcW w:type="dxa" w:w="3200"/>
            <w:shd w:fill="F2F2F2" w:val="clear"/>
          </w:tcPr>
          <w:p>
            <w:r>
              <w:rPr>
                <w:b/>
                <w:bCs/>
              </w:rPr>
              <w:t xml:space="preserve">Cash conversion cycle</w:t>
            </w:r>
          </w:p>
        </w:tc>
        <w:tc>
          <w:tcPr>
            <w:tcW w:type="dxa" w:w="5800"/>
          </w:tcPr>
          <w:p>
            <w:r>
              <w:t xml:space="preserve">—</w:t>
            </w:r>
          </w:p>
        </w:tc>
      </w:tr>
      <w:tr>
        <w:tc>
          <w:tcPr>
            <w:tcW w:type="dxa" w:w="3200"/>
            <w:shd w:fill="F2F2F2" w:val="clear"/>
          </w:tcPr>
          <w:p>
            <w:r>
              <w:rPr>
                <w:b/>
                <w:bCs/>
              </w:rPr>
              <w:t xml:space="preserve">3y trend</w:t>
            </w:r>
          </w:p>
        </w:tc>
        <w:tc>
          <w:tcPr>
            <w:tcW w:type="dxa" w:w="5800"/>
          </w:tcPr>
          <w:p>
            <w:r>
              <w:t xml:space="preserve">elongating</w:t>
            </w:r>
          </w:p>
        </w:tc>
      </w:tr>
      <w:tr>
        <w:tc>
          <w:tcPr>
            <w:tcW w:type="dxa" w:w="3200"/>
            <w:shd w:fill="F2F2F2" w:val="clear"/>
          </w:tcPr>
          <w:p>
            <w:r>
              <w:rPr>
                <w:b/>
                <w:bCs/>
              </w:rPr>
              <w:t xml:space="preserve">Vs sector</w:t>
            </w:r>
          </w:p>
        </w:tc>
        <w:tc>
          <w:tcPr>
            <w:tcW w:type="dxa" w:w="5800"/>
          </w:tcPr>
          <w:p>
            <w:r>
              <w:t xml:space="preserve">unclear</w:t>
            </w:r>
          </w:p>
        </w:tc>
      </w:tr>
    </w:tbl>
    <w:p>
      <w:pPr>
        <w:spacing w:after="120"/>
      </w:pPr>
      <w:r>
        <w:rPr>
          <w:color w:val="666666"/>
          <w:sz w:val="18"/>
          <w:szCs w:val="18"/>
        </w:rPr>
        <w:t xml:space="preserve">Debtor days ~151 (up from a historical 100-120 range) reflect DISCOM/developer/government receivable delays typical of EPC billing on long-cycle public-sector work; overall working-capital days ~128. Peer debtor-day comparison not sourced this pass, so sector_relative left unclear rather than guessed.</w:t>
      </w:r>
    </w:p>
    <w:p>
      <w:pPr>
        <w:spacing w:after="120"/>
      </w:pPr>
      <w:r>
        <w:rPr>
          <w:b/>
          <w:bCs/>
          <w:sz w:val="20"/>
          <w:szCs w:val="20"/>
        </w:rPr>
        <w:t xml:space="preserve">Sector KPIs:</w:t>
      </w:r>
    </w:p>
    <w:p>
      <w:pPr>
        <w:pStyle w:val="ListParagraph"/>
        <w:numPr>
          <w:ilvl w:val="0"/>
          <w:numId w:val="1"/>
        </w:numPr>
        <w:spacing w:after="60"/>
      </w:pPr>
      <w:r>
        <w:t xml:space="preserve">Order book / TTM revenue: ~5.1x (Rs 13,535cr order book vs ~Rs 2,640cr TTM revenue) (improving)</w:t>
      </w:r>
    </w:p>
    <w:p>
      <w:pPr>
        <w:pStyle w:val="ListParagraph"/>
        <w:numPr>
          <w:ilvl w:val="0"/>
          <w:numId w:val="1"/>
        </w:numPr>
        <w:spacing w:after="60"/>
      </w:pPr>
      <w:r>
        <w:t xml:space="preserve">FY27 order inflow guidance: Rs 4,500-5,000cr targeted; management confident Q2 FY27 exceeds the upper band (improving)</w:t>
      </w:r>
    </w:p>
    <w:p>
      <w:pPr>
        <w:pStyle w:val="ListParagraph"/>
        <w:numPr>
          <w:ilvl w:val="0"/>
          <w:numId w:val="1"/>
        </w:numPr>
        <w:spacing w:after="60"/>
      </w:pPr>
      <w:r>
        <w:t xml:space="preserve">EBITDA margin: 15.7% Q1 FY27, down from 17.2% Q1 FY26 (declining) — commodity-provisioning driven; guided to partially reverse Q3/Q4 FY27</w:t>
      </w:r>
    </w:p>
    <w:p>
      <w:pPr>
        <w:pStyle w:val="ListParagraph"/>
        <w:numPr>
          <w:ilvl w:val="0"/>
          <w:numId w:val="1"/>
        </w:numPr>
        <w:spacing w:after="60"/>
      </w:pPr>
      <w:r>
        <w:t xml:space="preserve">Debtor days: 151 days, up from a historical 100-120 range (declining)</w:t>
      </w:r>
    </w:p>
    <w:p>
      <w:pPr>
        <w:spacing w:after="120"/>
      </w:pPr>
      <w:r>
        <w:rPr>
          <w:b/>
          <w:bCs/>
          <w:sz w:val="20"/>
          <w:szCs w:val="20"/>
        </w:rPr>
        <w:t xml:space="preserve">Scenario analysis (closest to: bear):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Bull</w:t>
            </w:r>
          </w:p>
        </w:tc>
        <w:tc>
          <w:tcPr>
            <w:tcW w:type="dxa" w:w="5800"/>
          </w:tcPr>
          <w:p>
            <w:r>
              <w:t xml:space="preserve">rev CAGR 20%, FY28 margin 17.5%, FY28 EPS 38.2, exit 16x, implied price 611 (+215% vs CMP)</w:t>
            </w:r>
          </w:p>
        </w:tc>
      </w:tr>
      <w:tr>
        <w:tc>
          <w:tcPr>
            <w:tcW w:type="dxa" w:w="3200"/>
            <w:shd w:fill="F2F2F2" w:val="clear"/>
          </w:tcPr>
          <w:p>
            <w:r>
              <w:rPr>
                <w:b/>
                <w:bCs/>
              </w:rPr>
              <w:t xml:space="preserve">Base</w:t>
            </w:r>
          </w:p>
        </w:tc>
        <w:tc>
          <w:tcPr>
            <w:tcW w:type="dxa" w:w="5800"/>
          </w:tcPr>
          <w:p>
            <w:r>
              <w:t xml:space="preserve">rev CAGR 14%, FY28 margin 16.5%, FY28 EPS 31.5, exit 12x, implied price 378 (+95% vs CMP)</w:t>
            </w:r>
          </w:p>
        </w:tc>
      </w:tr>
      <w:tr>
        <w:tc>
          <w:tcPr>
            <w:tcW w:type="dxa" w:w="3200"/>
            <w:shd w:fill="F2F2F2" w:val="clear"/>
          </w:tcPr>
          <w:p>
            <w:r>
              <w:rPr>
                <w:b/>
                <w:bCs/>
              </w:rPr>
              <w:t xml:space="preserve">Bear</w:t>
            </w:r>
          </w:p>
        </w:tc>
        <w:tc>
          <w:tcPr>
            <w:tcW w:type="dxa" w:w="5800"/>
          </w:tcPr>
          <w:p>
            <w:r>
              <w:t xml:space="preserve">rev CAGR 8%, FY28 margin 14.5%, FY28 EPS 23.9, exit 8x, implied price 191 (-2% vs CMP)</w:t>
            </w:r>
          </w:p>
        </w:tc>
      </w:tr>
    </w:tbl>
    <w:p>
      <w:pPr>
        <w:spacing w:after="120"/>
      </w:pPr>
      <w:r>
        <w:rPr>
          <w:color w:val="666666"/>
          <w:sz w:val="18"/>
          <w:szCs w:val="18"/>
        </w:rPr>
        <w:t xml:space="preserve">Current price (~Rs194) sits almost exactly on the bear case (no re-rate, modest growth, a repeat of commodity-timing mismatches) -- consistent with market_expectation.gap_direction of 'underestimated'. Base/bull require the 9x trailing multiple to re-rate toward even the low end of the 15-22x peer band as order-book execution and margin normalisation play out through FY28.</w:t>
      </w:r>
    </w:p>
    <w:p>
      <w:pPr>
        <w:pStyle w:val="Heading1"/>
        <w:spacing w:after="120" w:before="280"/>
      </w:pPr>
      <w:r>
        <w:t xml:space="preserve">Technical Read (Weekly / Monthly MACD + Bollinger Bands, or RSI/CCI/Williams %R proxy)</w:t>
      </w:r>
    </w:p>
    <w:p>
      <w:pPr>
        <w:spacing w:after="120"/>
      </w:pPr>
      <w:r>
        <w:t xml:space="preserve">Not checked this pass.</w:t>
      </w:r>
    </w:p>
    <w:p>
      <w:pPr>
        <w:pStyle w:val="Heading1"/>
        <w:spacing w:after="120" w:before="280"/>
      </w:pPr>
      <w:r>
        <w:t xml:space="preserve">ValuePickr Community Signal</w:t>
      </w:r>
    </w:p>
    <w:p>
      <w:pPr>
        <w:spacing w:after="120"/>
      </w:pPr>
      <w:r>
        <w:t xml:space="preserve">Read most recent 50 of 165 posts (single batch, no escalation). Two substantive recent posts (Jun and Aug 2026) both frame the story positively -- a value re-rating candidate with a temporary, explainable margin headwind.</w:t>
      </w:r>
    </w:p>
    <w:p>
      <w:pPr>
        <w:spacing w:after="120"/>
      </w:pPr>
      <w:r>
        <w:rPr>
          <w:b/>
          <w:bCs/>
          <w:sz w:val="20"/>
          <w:szCs w:val="20"/>
        </w:rPr>
        <w:t xml:space="preserve">High-conviction call from a top contributor: </w:t>
      </w:r>
      <w:r>
        <w:rPr>
          <w:sz w:val="20"/>
          <w:szCs w:val="20"/>
        </w:rPr>
        <w:t xml:space="preserve">No trusted-roster users posted in this thread. austin (Jun 2026) called Q4 numbers decent across line items with consistent growth guidance, noting the stock trades cheap vs. peers and inflationary cost increases are being passed through per contract terms, with margin impact not yet meaningfully visible. Aiyappaa (Aug 2026, 4 loves) posted a detailed Q4 FY26/Q1 FY27 concall summary: confirmed the valuation gap vs. peers, and explained the Q1 FY27 PAT dip as a Rs 20 Cr commodity provisioning charge (accounting prudence) driven by a sharp Feb-May spike in non-ferrous input costs (aluminum +35-40%, copper, electricals), where government WPI/CPWD escalation-index reimbursement lags spot prices by 1-2 quarters -- i.e., a timing mismatch expected to normalize, not a structural margin loss. Note: this pass's own concall-transcript research found the company's own stated figure to be a Rs 10 Cr additional provision, not Rs 20 Cr -- discrepancy unresolved, see deep_dive.open_questions.</w:t>
      </w:r>
    </w:p>
    <w:p>
      <w:pPr>
        <w:pStyle w:val="Heading1"/>
        <w:spacing w:after="120" w:before="280"/>
      </w:pPr>
      <w:r>
        <w:t xml:space="preserve">BSE Corporate Actions / Other Red Flags</w:t>
      </w:r>
    </w:p>
    <w:p>
      <w:pPr>
        <w:spacing w:after="120"/>
      </w:pPr>
      <w:r>
        <w:t xml:space="preserve">6-month BSE/NSE scan (this pass): Apr-2026 Rs 295 Cr LoA from Indus Co-operative Housing Society (Wadala, Mumbai residential+commercial) added to order book. Apr-2026 disclosure that promoters/PAC created no fresh encumbrance during FY25-26. May-2026 and Jun-2026 promoter pledge releases (10L then 25.5L shares), cutting pledge to 18.65% of promoter holding. FY26 results (AGM 24-Jul-2026) carried the auditor's qualified opinion on ~Rs 66 Cr of receivables. No rating action, M&amp;A, buyback, dividend, or KMP/auditor-change news found in the window.</w:t>
      </w:r>
    </w:p>
    <w:p>
      <w:pPr>
        <w:pStyle w:val="Heading1"/>
        <w:spacing w:after="120" w:before="280"/>
      </w:pPr>
      <w:r>
        <w:t xml:space="preserve">Bull Case</w:t>
      </w:r>
    </w:p>
    <w:p>
      <w:pPr>
        <w:pStyle w:val="ListParagraph"/>
        <w:numPr>
          <w:ilvl w:val="0"/>
          <w:numId w:val="1"/>
        </w:numPr>
        <w:spacing w:after="60"/>
      </w:pPr>
      <w:r>
        <w:t xml:space="preserve">Trades at a real, quantified discount to peers (~9.0x P/E vs. 15-22x peer range, below book value) despite consistent growth</w:t>
      </w:r>
    </w:p>
    <w:p>
      <w:pPr>
        <w:pStyle w:val="ListParagraph"/>
        <w:numPr>
          <w:ilvl w:val="0"/>
          <w:numId w:val="1"/>
        </w:numPr>
        <w:spacing w:after="60"/>
      </w:pPr>
      <w:r>
        <w:t xml:space="preserve">Order book of Rs 13,535 Cr is ~5.1x TTM revenue -- strong multi-year revenue visibility, reinforced by continued order inflow (Rs 295 Cr LoA Apr-2026) and a reiterated FY27 order-inflow guidance of Rs 4,500-5,000 Cr</w:t>
      </w:r>
    </w:p>
    <w:p>
      <w:pPr>
        <w:pStyle w:val="ListParagraph"/>
        <w:numPr>
          <w:ilvl w:val="0"/>
          <w:numId w:val="1"/>
        </w:numPr>
        <w:spacing w:after="60"/>
      </w:pPr>
      <w:r>
        <w:t xml:space="preserve">Q1 FY27 margin/PAT dip has a specific, well-documented, timing-based explanation (commodity cost spike vs. lagged government escalation-clause reimbursement) rather than a demand or competitive problem, corroborated by both a detailed community concall summary and this pass's own concall-transcript research</w:t>
      </w:r>
    </w:p>
    <w:p>
      <w:pPr>
        <w:pStyle w:val="ListParagraph"/>
        <w:numPr>
          <w:ilvl w:val="0"/>
          <w:numId w:val="1"/>
        </w:numPr>
        <w:spacing w:after="60"/>
      </w:pPr>
      <w:r>
        <w:t xml:space="preserve">Promoters cut pledge from ~32% to 18.65% of holding in a single quarter (35.5 lakh shares released, May-Jun 2026) and are targeting zero pledge by FY27-end -- genuine de-risking, not the pattern of a promoter preparing to exit (promoter holding itself has stayed flat at 31.69% for four straight quarters)</w:t>
      </w:r>
    </w:p>
    <w:p>
      <w:pPr>
        <w:pStyle w:val="Heading1"/>
        <w:spacing w:after="120" w:before="280"/>
      </w:pPr>
      <w:r>
        <w:t xml:space="preserve">Bear Case / Key Risks</w:t>
      </w:r>
    </w:p>
    <w:p>
      <w:pPr>
        <w:pStyle w:val="ListParagraph"/>
        <w:numPr>
          <w:ilvl w:val="0"/>
          <w:numId w:val="1"/>
        </w:numPr>
        <w:spacing w:after="60"/>
      </w:pPr>
      <w:r>
        <w:t xml:space="preserve">Revenue growth itself is modest and decelerating (Q1 FY27 revenue +7% YoY vs. FY26's +12% YoY) -- this is more a re-rating/value case than a high-growth story</w:t>
      </w:r>
    </w:p>
    <w:p>
      <w:pPr>
        <w:pStyle w:val="ListParagraph"/>
        <w:numPr>
          <w:ilvl w:val="0"/>
          <w:numId w:val="1"/>
        </w:numPr>
        <w:spacing w:after="60"/>
      </w:pPr>
      <w:r>
        <w:t xml:space="preserve">EPC businesses carry structural working-capital and execution risk: debtor days are elevated at 151 (vs. a historical 100-120 range), and the FY26 statutory auditor issued a qualified opinion flagging ~Rs 66 Cr of receivables (Rs 11.56 Cr from a party under CIRP/insolvency, ~Rs 54.9 Cr under legal proceedings) as uncertain to recover -- a new, quantified asset-quality flag this pass</w:t>
      </w:r>
    </w:p>
    <w:p>
      <w:pPr>
        <w:pStyle w:val="ListParagraph"/>
        <w:numPr>
          <w:ilvl w:val="0"/>
          <w:numId w:val="1"/>
        </w:numPr>
        <w:spacing w:after="60"/>
      </w:pPr>
      <w:r>
        <w:t xml:space="preserve">The 'temporary, will normalize' framing for the commodity provisioning rests on government escalation-clause reimbursement catching up, which is outside the company's direct control; the provision's own size is disputed between sources (company concall: Rs 10 Cr; community VP-thread estimate: Rs 20 Cr), unresolved this pass</w:t>
      </w:r>
    </w:p>
    <w:p>
      <w:pPr>
        <w:pStyle w:val="ListParagraph"/>
        <w:numPr>
          <w:ilvl w:val="0"/>
          <w:numId w:val="1"/>
        </w:numPr>
        <w:spacing w:after="60"/>
      </w:pPr>
      <w:r>
        <w:t xml:space="preserve">No dividend despite consistent profitability, and ROE remains subdued (~10.4%) -- shareholder-returns discipline is a soft but real negative</w:t>
      </w:r>
    </w:p>
    <w:p>
      <w:pPr>
        <w:pStyle w:val="Heading1"/>
        <w:spacing w:after="120" w:before="280"/>
      </w:pPr>
      <w:r>
        <w:t xml:space="preserve">Market-Cap Tier (informational — not a gate in this project)</w:t>
      </w:r>
    </w:p>
    <w:p>
      <w:pPr>
        <w:spacing w:after="120"/>
      </w:pPr>
      <w:r>
        <w:rPr>
          <w:b/>
          <w:bCs/>
        </w:rPr>
        <w:t xml:space="preserve">Small-cap (~Rs 1,742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weak · TAM: yes · moat: no · valuation: yes  (score 2.5 / 4)</w:t>
      </w:r>
    </w:p>
    <w:p>
      <w:pPr>
        <w:spacing w:after="120"/>
      </w:pPr>
      <w:r>
        <w:rPr>
          <w:i/>
          <w:iCs/>
          <w:color w:val="666666"/>
          <w:sz w:val="20"/>
          <w:szCs w:val="20"/>
        </w:rPr>
        <w:t xml:space="preserve">Modest, decelerating revenue growth (+7% Q1 FY27 vs +12% FY26) suggests this is a valuation catch-up story more than a structural growth tailwind (weak); order book (~5.1x TTM revenue) plus reiterated FY27 order-inflow guidance (Rs4,500-5,000cr) gives strong multi-year tam visibility (yes); no explicit moat for a mid-cap EPC business (no); trades at ~9.0x P/E vs 15-22x peers and below book (0.86x P/B) -- a real, quantified valuation discount (yes). Written exception (valuation=yes) keeps thesis_fit at 10x-in-2-3-years despite score &lt; 3.0, conviction capped Low-Medium.</w:t>
      </w:r>
    </w:p>
    <w:p>
      <w:pPr>
        <w:pStyle w:val="Heading1"/>
        <w:spacing w:after="120" w:before="280"/>
      </w:pPr>
      <w:r>
        <w:t xml:space="preserve">Verdict</w:t>
      </w:r>
    </w:p>
    <w:p>
      <w:pPr>
        <w:spacing w:after="120"/>
      </w:pPr>
      <w:r>
        <w:rPr>
          <w:b/>
          <w:bCs/>
          <w:sz w:val="24"/>
          <w:szCs w:val="24"/>
        </w:rPr>
        <w:t xml:space="preserve">Cheap value-plus-order-book story with a well-explained (though not fully consensus-verified) margin dip and a genuinely de-risking promoter -- offset this pass by a fresh auditor receivables flag and a growth deceleration</w:t>
      </w:r>
    </w:p>
    <w:p>
      <w:pPr>
        <w:pStyle w:val="ListParagraph"/>
        <w:numPr>
          <w:ilvl w:val="0"/>
          <w:numId w:val="1"/>
        </w:numPr>
        <w:spacing w:after="60"/>
      </w:pPr>
      <w:r>
        <w:t xml:space="preserve">The combination of a large order book (5.1x revenue), a genuine valuation discount to peers, a well-documented timing-based explanation for the recent margin dip, and now a promoter actively cutting pledge supports the thesis, particularly if the peer-multiple gap closes</w:t>
      </w:r>
    </w:p>
    <w:p>
      <w:pPr>
        <w:pStyle w:val="ListParagraph"/>
        <w:numPr>
          <w:ilvl w:val="0"/>
          <w:numId w:val="1"/>
        </w:numPr>
        <w:spacing w:after="60"/>
      </w:pPr>
      <w:r>
        <w:t xml:space="preserve">But underlying revenue growth is modest and decelerated further in Q1 FY27 (+7% YoY vs. FY26's +12%), and this pass surfaced a new, quantified auditor qualification on ~Rs 66 Cr of receivables -- so the 10x case here depends more on multiple re-rating and order-book conversion than on outsized organic growth, and carries more near-term asset-quality noise than the prior pass captured</w:t>
      </w:r>
    </w:p>
    <w:p>
      <w:pPr>
        <w:pStyle w:val="ListParagraph"/>
        <w:numPr>
          <w:ilvl w:val="0"/>
          <w:numId w:val="1"/>
        </w:numPr>
        <w:spacing w:after="60"/>
      </w:pPr>
      <w:r>
        <w:t xml:space="preserve">Four-box score stays at 2.5 (tailwind weak, tam yes, moat no, valuation yes) -- the written exception (valuation box = yes) keeps thesis_fit at 10x-in-2-3-years per the decision table, with conviction capped Low-Medium and an 'unconfirmed' caveat given EPC's inherent working-capital/execution risk and market_expectation.evidence_quality now reading weak (thesis-critical commitments are still guidance-stage, not yet delivered)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2026-09-22T04:36:28.547Z</dcterms:created>
  <dcterms:modified xsi:type="dcterms:W3CDTF">2026-09-22T04:36:28.552Z</dcterms:modified>
</cp:coreProperties>
</file>

<file path=docProps/custom.xml><?xml version="1.0" encoding="utf-8"?>
<Properties xmlns="http://schemas.openxmlformats.org/officeDocument/2006/custom-properties" xmlns:vt="http://schemas.openxmlformats.org/officeDocument/2006/docPropsVTypes"/>
</file>