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ADF Foods Ltd</w:t>
      </w:r>
    </w:p>
    <w:p>
      <w:pPr>
        <w:pBdr>
          <w:bottom w:val="single" w:color="CCCCCC" w:sz="6" w:space="8"/>
        </w:pBdr>
        <w:spacing w:after="200"/>
      </w:pPr>
      <w:r>
        <w:rPr>
          <w:i/>
          <w:iCs/>
          <w:color w:val="666666"/>
          <w:sz w:val="22"/>
          <w:szCs w:val="22"/>
        </w:rPr>
        <w:t xml:space="preserve">A genuinely accelerating ethnic-food exporter (Ashoka brand) — FY26 PAT grew 29.84% on 15.88% revenue growth, TTM profit growth is running at 38% — with a new Surat plant ramping and valuation still at an unchanged ~30x P/E, but this is a linear distribution/capacity-driven compounder, not an asymmetric-optionality bet</w:t>
      </w:r>
    </w:p>
    <w:p>
      <w:pPr>
        <w:pStyle w:val="Heading1"/>
        <w:spacing w:after="120" w:before="280"/>
      </w:pPr>
      <w:r>
        <w:t xml:space="preserve">Business Overview</w:t>
      </w:r>
    </w:p>
    <w:p>
      <w:pPr>
        <w:spacing w:after="120"/>
      </w:pPr>
      <w:r>
        <w:t xml:space="preserve">ADF Foods manufactures and exports ready-to-eat and ready-to-cook Indian/ethnic food products (Ashoka brand among others) primarily to the US, UK, and European markets (99.61% export share, 60+ countries, listed at Costco, Safeway-Albertsons, and Whole Foods Market), alongside a lower-margin domestic distribution business for Unilever brands.</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2,922-2,937 Cr (essentially unchanged from initial screen)</w:t>
            </w:r>
          </w:p>
        </w:tc>
      </w:tr>
      <w:tr>
        <w:tc>
          <w:tcPr>
            <w:tcW w:type="dxa" w:w="3200"/>
            <w:shd w:fill="F2F2F2" w:val="clear"/>
          </w:tcPr>
          <w:p>
            <w:r>
              <w:rPr>
                <w:b/>
                <w:bCs/>
              </w:rPr>
              <w:t xml:space="preserve">ROCE / ROE</w:t>
            </w:r>
          </w:p>
        </w:tc>
        <w:tc>
          <w:tcPr>
            <w:tcW w:type="dxa" w:w="5800"/>
          </w:tcPr>
          <w:p>
            <w:r>
              <w:t xml:space="preserve">22% / 17.7% (Mar 2026) -- consistently good, ROE has averaged 16-18% for a decade</w:t>
            </w:r>
          </w:p>
        </w:tc>
      </w:tr>
      <w:tr>
        <w:tc>
          <w:tcPr>
            <w:tcW w:type="dxa" w:w="3200"/>
            <w:shd w:fill="F2F2F2" w:val="clear"/>
          </w:tcPr>
          <w:p>
            <w:r>
              <w:rPr>
                <w:b/>
                <w:bCs/>
              </w:rPr>
              <w:t xml:space="preserve">Valuation</w:t>
            </w:r>
          </w:p>
        </w:tc>
        <w:tc>
          <w:tcPr>
            <w:tcW w:type="dxa" w:w="5800"/>
          </w:tcPr>
          <w:p>
            <w:r>
              <w:t xml:space="preserve">P/E ~29.7-30.2x -- essentially unchanged from the initial screen despite accelerating growth</w:t>
            </w:r>
          </w:p>
        </w:tc>
      </w:tr>
      <w:tr>
        <w:tc>
          <w:tcPr>
            <w:tcW w:type="dxa" w:w="3200"/>
            <w:shd w:fill="F2F2F2" w:val="clear"/>
          </w:tcPr>
          <w:p>
            <w:r>
              <w:rPr>
                <w:b/>
                <w:bCs/>
              </w:rPr>
              <w:t xml:space="preserve">Debt</w:t>
            </w:r>
          </w:p>
        </w:tc>
        <w:tc>
          <w:tcPr>
            <w:tcW w:type="dxa" w:w="5800"/>
          </w:tcPr>
          <w:p>
            <w:r>
              <w:t xml:space="preserve">Rs 55 Cr borrowings (Mar 2026, down slightly from Rs 59 Cr) vs Rs 76 Cr cash &amp; investments -- net cash, minimal (not literally zero) leverage</w:t>
            </w:r>
          </w:p>
        </w:tc>
      </w:tr>
      <w:tr>
        <w:tc>
          <w:tcPr>
            <w:tcW w:type="dxa" w:w="3200"/>
            <w:shd w:fill="F2F2F2" w:val="clear"/>
          </w:tcPr>
          <w:p>
            <w:r>
              <w:rPr>
                <w:b/>
                <w:bCs/>
              </w:rPr>
              <w:t xml:space="preserve">Growth (CAGR)</w:t>
            </w:r>
          </w:p>
        </w:tc>
        <w:tc>
          <w:tcPr>
            <w:tcW w:type="dxa" w:w="5800"/>
          </w:tcPr>
          <w:p>
            <w:r>
              <w:t xml:space="preserve">Sales: 13% (5-yr), 15% (3-yr), 19% (TTM); Profit: 14% (5-yr), 20% (3-yr), 38% (TTM) -- genuinely accelerating on both lines</w:t>
            </w:r>
          </w:p>
        </w:tc>
      </w:tr>
      <w:tr>
        <w:tc>
          <w:tcPr>
            <w:tcW w:type="dxa" w:w="3200"/>
            <w:shd w:fill="F2F2F2" w:val="clear"/>
          </w:tcPr>
          <w:p>
            <w:r>
              <w:rPr>
                <w:b/>
                <w:bCs/>
              </w:rPr>
              <w:t xml:space="preserve">FY26 full year</w:t>
            </w:r>
          </w:p>
        </w:tc>
        <w:tc>
          <w:tcPr>
            <w:tcW w:type="dxa" w:w="5800"/>
          </w:tcPr>
          <w:p>
            <w:r>
              <w:t xml:space="preserve">Revenue Rs 683.23 Cr (+15.88% YoY), PAT Rs 89.92 Cr (+29.84% YoY) -- profit growth well ahead of revenue</w:t>
            </w:r>
          </w:p>
        </w:tc>
      </w:tr>
      <w:tr>
        <w:tc>
          <w:tcPr>
            <w:tcW w:type="dxa" w:w="3200"/>
            <w:shd w:fill="F2F2F2" w:val="clear"/>
          </w:tcPr>
          <w:p>
            <w:r>
              <w:rPr>
                <w:b/>
                <w:bCs/>
              </w:rPr>
              <w:t xml:space="preserve">Q1 FY27</w:t>
            </w:r>
          </w:p>
        </w:tc>
        <w:tc>
          <w:tcPr>
            <w:tcW w:type="dxa" w:w="5800"/>
          </w:tcPr>
          <w:p>
            <w:r>
              <w:t xml:space="preserve">Revenue Rs 167.31 Cr (+25.9% YoY), PAT Rs 17.3 Cr (+13.4% YoY), EBITDA Rs 29.70 Cr (+26% YoY, margin 17.7%) -- muted by Middle East conflict/container-shortage freight disruption, as previously flagged</w:t>
            </w:r>
          </w:p>
        </w:tc>
      </w:tr>
      <w:tr>
        <w:tc>
          <w:tcPr>
            <w:tcW w:type="dxa" w:w="3200"/>
            <w:shd w:fill="F2F2F2" w:val="clear"/>
          </w:tcPr>
          <w:p>
            <w:r>
              <w:rPr>
                <w:b/>
                <w:bCs/>
              </w:rPr>
              <w:t xml:space="preserve">FY27 guidance</w:t>
            </w:r>
          </w:p>
        </w:tc>
        <w:tc>
          <w:tcPr>
            <w:tcW w:type="dxa" w:w="5800"/>
          </w:tcPr>
          <w:p>
            <w:r>
              <w:t xml:space="preserve">Revenue &gt;Rs 900 Cr (~32% growth), explicitly conditional on geopolitical/freight stabilization</w:t>
            </w:r>
          </w:p>
        </w:tc>
      </w:tr>
      <w:tr>
        <w:tc>
          <w:tcPr>
            <w:tcW w:type="dxa" w:w="3200"/>
            <w:shd w:fill="F2F2F2" w:val="clear"/>
          </w:tcPr>
          <w:p>
            <w:r>
              <w:rPr>
                <w:b/>
                <w:bCs/>
              </w:rPr>
              <w:t xml:space="preserve">Capacity</w:t>
            </w:r>
          </w:p>
        </w:tc>
        <w:tc>
          <w:tcPr>
            <w:tcW w:type="dxa" w:w="5800"/>
          </w:tcPr>
          <w:p>
            <w:r>
              <w:t xml:space="preserve">Surat Greenfield frozen-foods plant commissioned Mar-2026 (+10,000 MT, total 38,000 MT); up to Rs 250 Cr incremental revenue potential at full capacity, but only ~30% utilization expected in FY27 with a 2-3 year ramp to full capacity</w:t>
            </w:r>
          </w:p>
        </w:tc>
      </w:tr>
    </w:tbl>
    <w:p>
      <w:pPr>
        <w:spacing w:after="100"/>
      </w:pPr>
    </w:p>
    <w:p>
      <w:pPr>
        <w:spacing w:after="120"/>
      </w:pPr>
      <w:r>
        <w:t xml:space="preserve">The initial screen's 'steady compounder' framing undersells the trajectory now visible: profit growth has genuinely accelerated (FY26 PAT +29.84% YoY vs revenue +15.88%; TTM profit growth 38% vs TTM sales growth 19%), a clear sign of real operating leverage, not just top-line momentum. A US Customs and Border Protection tariff refund (~USD 2.1mn, ~Rs 20 Cr) landed in July 2026, a genuine one-off cash benefit. The company is near, not literally, debt-free (Rs 55 Cr borrowings against Rs 76 Cr cash), and free cash flow has actually been negative the last two years (FY26: -Rs 25 Cr, FY25: -Rs 4 Cr) as the Surat plant was built -- a real, if temporary, cash drag funded mostly from internal reserves with only a modest uptick in borrowings, not aggressive debt. Valuation (~30x trailing P/E) is essentially unchanged from the initial screen despite this acceleration, which is itself a notable finding: the market has not yet re-rated the stock for the improved growth trajectory.</w:t>
      </w:r>
    </w:p>
    <w:p>
      <w:pPr>
        <w:pStyle w:val="Heading1"/>
        <w:spacing w:after="120" w:before="280"/>
      </w:pPr>
      <w:r>
        <w:t xml:space="preserve">Deep-Dive: Primary Documents (Annual Reports, Quarterly Results, Exchange Filings)</w:t>
      </w:r>
    </w:p>
    <w:p>
      <w:pPr>
        <w:spacing w:after="120"/>
      </w:pPr>
      <w:r>
        <w:rPr>
          <w:i/>
          <w:iCs/>
          <w:color w:val="666666"/>
          <w:sz w:val="18"/>
          <w:szCs w:val="18"/>
        </w:rPr>
        <w:t xml:space="preserve">Pass 1 — 2026-09-05. Built from the company's own filings (3 years of annual reports, ~4 quarters of results/concalls, and 6 months of BSE/NSE announcements), read via the web — a deeper layer than the forum-sentiment read below.</w:t>
      </w:r>
    </w:p>
    <w:p>
      <w:pPr>
        <w:spacing w:after="120"/>
      </w:pPr>
      <w:r>
        <w:rPr>
          <w:b/>
          <w:bCs/>
          <w:sz w:val="20"/>
          <w:szCs w:val="20"/>
        </w:rPr>
        <w:t xml:space="preserve">Sources reviewed this pass:</w:t>
      </w:r>
    </w:p>
    <w:p>
      <w:pPr>
        <w:pStyle w:val="ListParagraph"/>
        <w:numPr>
          <w:ilvl w:val="0"/>
          <w:numId w:val="1"/>
        </w:numPr>
        <w:spacing w:after="60"/>
      </w:pPr>
      <w:r>
        <w:t xml:space="preserve">Q1 FY27 and FY26 full-year results/press releases + concall summaries</w:t>
      </w:r>
    </w:p>
    <w:p>
      <w:pPr>
        <w:pStyle w:val="ListParagraph"/>
        <w:numPr>
          <w:ilvl w:val="0"/>
          <w:numId w:val="1"/>
        </w:numPr>
        <w:spacing w:after="60"/>
      </w:pPr>
      <w:r>
        <w:t xml:space="preserve">FY26 annual report / BRSR coverage (export share, capacity, retail partnerships)</w:t>
      </w:r>
    </w:p>
    <w:p>
      <w:pPr>
        <w:pStyle w:val="ListParagraph"/>
        <w:numPr>
          <w:ilvl w:val="0"/>
          <w:numId w:val="1"/>
        </w:numPr>
        <w:spacing w:after="60"/>
      </w:pPr>
      <w:r>
        <w:t xml:space="preserve">US tariff refund announcement (Jul-2026)</w:t>
      </w:r>
    </w:p>
    <w:p>
      <w:pPr>
        <w:pStyle w:val="ListParagraph"/>
        <w:numPr>
          <w:ilvl w:val="0"/>
          <w:numId w:val="1"/>
        </w:numPr>
        <w:spacing w:after="60"/>
      </w:pPr>
      <w:r>
        <w:t xml:space="preserve">screener.in consolidated financials (ROCE/ROE, growth CAGRs, balance sheet, cash flow, dividend)</w:t>
      </w:r>
    </w:p>
    <w:p>
      <w:pPr>
        <w:spacing w:after="120"/>
      </w:pPr>
      <w:r>
        <w:rPr>
          <w:b/>
          <w:bCs/>
          <w:sz w:val="20"/>
          <w:szCs w:val="20"/>
        </w:rPr>
        <w:t xml:space="preserve">Annual-report findings (3-year view):</w:t>
      </w:r>
    </w:p>
    <w:p>
      <w:pPr>
        <w:pStyle w:val="ListParagraph"/>
        <w:numPr>
          <w:ilvl w:val="0"/>
          <w:numId w:val="1"/>
        </w:numPr>
        <w:spacing w:after="60"/>
      </w:pPr>
      <w:r>
        <w:t xml:space="preserve">Exports are 99.61% of turnover across 60+ countries, with retail listings at Costco, Safeway-Albertsons, and Whole Foods Market</w:t>
      </w:r>
    </w:p>
    <w:p>
      <w:pPr>
        <w:pStyle w:val="ListParagraph"/>
        <w:numPr>
          <w:ilvl w:val="0"/>
          <w:numId w:val="1"/>
        </w:numPr>
        <w:spacing w:after="60"/>
      </w:pPr>
      <w:r>
        <w:t xml:space="preserve">Surat Greenfield frozen-foods plant commissioned March 2026, adding 10,000 MT (total capacity 38,000 MT); up to Rs 250 Cr of incremental revenue potential at full capacity, ~30% utilization expected in FY27, full ramp over 2-3 years</w:t>
      </w:r>
    </w:p>
    <w:p>
      <w:pPr>
        <w:pStyle w:val="ListParagraph"/>
        <w:numPr>
          <w:ilvl w:val="0"/>
          <w:numId w:val="1"/>
        </w:numPr>
        <w:spacing w:after="60"/>
      </w:pPr>
      <w:r>
        <w:t xml:space="preserve">Borrowings Rs 55 Cr (Mar 2026, down slightly from Rs 59 Cr) vs Rs 76 Cr cash &amp; investments -- net cash, minimal (not zero) leverage</w:t>
      </w:r>
    </w:p>
    <w:p>
      <w:pPr>
        <w:pStyle w:val="ListParagraph"/>
        <w:numPr>
          <w:ilvl w:val="0"/>
          <w:numId w:val="1"/>
        </w:numPr>
        <w:spacing w:after="60"/>
      </w:pPr>
      <w:r>
        <w:t xml:space="preserve">Free cash flow negative the last two years (FY26: -Rs 25 Cr, FY25: -Rs 4 Cr) funding the Surat plant, vs +Rs 55 Cr in FY24</w:t>
      </w:r>
    </w:p>
    <w:p>
      <w:pPr>
        <w:pStyle w:val="ListParagraph"/>
        <w:numPr>
          <w:ilvl w:val="0"/>
          <w:numId w:val="1"/>
        </w:numPr>
        <w:spacing w:after="60"/>
      </w:pPr>
      <w:r>
        <w:t xml:space="preserve">Dividend payout ratio cut from 77% (FY24) to 19% (FY25) to 15% (FY26) to prioritize capex reinvestment; promoter holding stable at 36.13%, 0% pledged</w:t>
      </w:r>
    </w:p>
    <w:p>
      <w:pPr>
        <w:spacing w:after="120"/>
      </w:pPr>
      <w:r>
        <w:rPr>
          <w:b/>
          <w:bCs/>
          <w:sz w:val="20"/>
          <w:szCs w:val="20"/>
        </w:rPr>
        <w:t xml:space="preserve">Quarterly trend (last ~4 quarters + concall commentary):</w:t>
      </w:r>
    </w:p>
    <w:p>
      <w:pPr>
        <w:pStyle w:val="ListParagraph"/>
        <w:numPr>
          <w:ilvl w:val="0"/>
          <w:numId w:val="1"/>
        </w:numPr>
        <w:spacing w:after="60"/>
      </w:pPr>
      <w:r>
        <w:t xml:space="preserve">FY26 full year: revenue Rs 683.23 Cr (+15.88% YoY), PAT Rs 89.92 Cr (+29.84% YoY) -- profit growth well ahead of revenue</w:t>
      </w:r>
    </w:p>
    <w:p>
      <w:pPr>
        <w:pStyle w:val="ListParagraph"/>
        <w:numPr>
          <w:ilvl w:val="0"/>
          <w:numId w:val="1"/>
        </w:numPr>
        <w:spacing w:after="60"/>
      </w:pPr>
      <w:r>
        <w:t xml:space="preserve">Q3 FY26: revenue at an all-time high of Rs 191 Cr, EBITDA margin 19.4%</w:t>
      </w:r>
    </w:p>
    <w:p>
      <w:pPr>
        <w:pStyle w:val="ListParagraph"/>
        <w:numPr>
          <w:ilvl w:val="0"/>
          <w:numId w:val="1"/>
        </w:numPr>
        <w:spacing w:after="60"/>
      </w:pPr>
      <w:r>
        <w:t xml:space="preserve">Q1 FY27: revenue Rs 167.31 Cr (+25.9% YoY), PAT Rs 17.3 Cr (+13.4% YoY), EBITDA Rs 29.70 Cr (+26% YoY, margin 17.7%, down from Q3 FY26's 19.4% on freight-cost pressure)</w:t>
      </w:r>
    </w:p>
    <w:p>
      <w:pPr>
        <w:pStyle w:val="ListParagraph"/>
        <w:numPr>
          <w:ilvl w:val="0"/>
          <w:numId w:val="1"/>
        </w:numPr>
        <w:spacing w:after="60"/>
      </w:pPr>
      <w:r>
        <w:t xml:space="preserve">TTM sales growth 19% (vs 13% 5-yr, 15% 3-yr) and TTM profit growth 38% (vs 14% 5-yr, 20% 3-yr) -- both lines genuinely accelerating</w:t>
      </w:r>
    </w:p>
    <w:p>
      <w:pPr>
        <w:pStyle w:val="ListParagraph"/>
        <w:numPr>
          <w:ilvl w:val="0"/>
          <w:numId w:val="1"/>
        </w:numPr>
        <w:spacing w:after="60"/>
      </w:pPr>
      <w:r>
        <w:t xml:space="preserve">Management guided FY27 revenue &gt;Rs 900 Cr (~32% growth), explicitly conditional on geopolitical/freight stabilization</w:t>
      </w:r>
    </w:p>
    <w:p>
      <w:pPr>
        <w:spacing w:after="120"/>
      </w:pPr>
      <w:r>
        <w:rPr>
          <w:b/>
          <w:bCs/>
          <w:sz w:val="20"/>
          <w:szCs w:val="20"/>
        </w:rPr>
        <w:t xml:space="preserve">Exchange announcements (last 6 months):</w:t>
      </w:r>
    </w:p>
    <w:p>
      <w:pPr>
        <w:pStyle w:val="ListParagraph"/>
        <w:numPr>
          <w:ilvl w:val="0"/>
          <w:numId w:val="1"/>
        </w:numPr>
        <w:spacing w:after="60"/>
      </w:pPr>
      <w:r>
        <w:t xml:space="preserve">US subsidiary received a USD 2.1mn (~Rs 20 Cr) tariff refund from US Customs and Border Protection, July 2026</w:t>
      </w:r>
    </w:p>
    <w:p>
      <w:pPr>
        <w:pStyle w:val="ListParagraph"/>
        <w:numPr>
          <w:ilvl w:val="0"/>
          <w:numId w:val="1"/>
        </w:numPr>
        <w:spacing w:after="60"/>
      </w:pPr>
      <w:r>
        <w:t xml:space="preserve">Surat Greenfield plant began commercial production, March 2026</w:t>
      </w:r>
    </w:p>
    <w:p>
      <w:pPr>
        <w:pStyle w:val="ListParagraph"/>
        <w:numPr>
          <w:ilvl w:val="0"/>
          <w:numId w:val="1"/>
        </w:numPr>
        <w:spacing w:after="60"/>
      </w:pPr>
      <w:r>
        <w:t xml:space="preserve">FY26 audited results approved with an unmodified audit opinion; final dividend of Rs 0.60/share recommended; 36th AGM fixed for 12-Aug-2026</w:t>
      </w:r>
    </w:p>
    <w:p>
      <w:pPr>
        <w:pStyle w:val="ListParagraph"/>
        <w:numPr>
          <w:ilvl w:val="0"/>
          <w:numId w:val="1"/>
        </w:numPr>
        <w:spacing w:after="60"/>
      </w:pPr>
      <w:r>
        <w:t xml:space="preserve">No litigation, KMP/auditor changes, or pledge movements found in the last 6 months</w:t>
      </w:r>
    </w:p>
    <w:p>
      <w:pPr>
        <w:spacing w:after="120"/>
      </w:pPr>
      <w:r>
        <w:rPr>
          <w:b/>
          <w:bCs/>
          <w:sz w:val="20"/>
          <w:szCs w:val="20"/>
        </w:rPr>
        <w:t xml:space="preserve">Key new facts vs. the prior write-up:</w:t>
      </w:r>
    </w:p>
    <w:p>
      <w:pPr>
        <w:pStyle w:val="ListParagraph"/>
        <w:numPr>
          <w:ilvl w:val="0"/>
          <w:numId w:val="1"/>
        </w:numPr>
        <w:spacing w:after="60"/>
      </w:pPr>
      <w:r>
        <w:t xml:space="preserve">FY26/TTM data reveals genuine operating leverage (profit growth 2x revenue growth) that the initial screen's 'steady compounder' framing did not capture</w:t>
      </w:r>
    </w:p>
    <w:p>
      <w:pPr>
        <w:pStyle w:val="ListParagraph"/>
        <w:numPr>
          <w:ilvl w:val="0"/>
          <w:numId w:val="1"/>
        </w:numPr>
        <w:spacing w:after="60"/>
      </w:pPr>
      <w:r>
        <w:t xml:space="preserve">The Surat plant is not just planned but commissioned and in early ramp, with a specific incremental-revenue ceiling (Rs 250 Cr) and utilization timeline (~30% FY27, full ramp 2-3 years)</w:t>
      </w:r>
    </w:p>
    <w:p>
      <w:pPr>
        <w:pStyle w:val="ListParagraph"/>
        <w:numPr>
          <w:ilvl w:val="0"/>
          <w:numId w:val="1"/>
        </w:numPr>
        <w:spacing w:after="60"/>
      </w:pPr>
      <w:r>
        <w:t xml:space="preserve">Free cash flow has actually been negative for two years -- a real nuance against the initial 'debt-free, cash-rich' framing, though funded mostly from reserves not debt</w:t>
      </w:r>
    </w:p>
    <w:p>
      <w:pPr>
        <w:pStyle w:val="ListParagraph"/>
        <w:numPr>
          <w:ilvl w:val="0"/>
          <w:numId w:val="1"/>
        </w:numPr>
        <w:spacing w:after="60"/>
      </w:pPr>
      <w:r>
        <w:t xml:space="preserve">Valuation is essentially unchanged (~30x) despite the accelerating growth -- no re-rating has happened yet</w:t>
      </w:r>
    </w:p>
    <w:p>
      <w:pPr>
        <w:spacing w:after="120"/>
      </w:pPr>
      <w:r>
        <w:rPr>
          <w:b/>
          <w:bCs/>
          <w:sz w:val="20"/>
          <w:szCs w:val="20"/>
        </w:rPr>
        <w:t xml:space="preserve">Open questions / what to watch:</w:t>
      </w:r>
    </w:p>
    <w:p>
      <w:pPr>
        <w:pStyle w:val="ListParagraph"/>
        <w:numPr>
          <w:ilvl w:val="0"/>
          <w:numId w:val="1"/>
        </w:numPr>
        <w:spacing w:after="60"/>
      </w:pPr>
      <w:r>
        <w:t xml:space="preserve">Whether the FY27 &gt;Rs 900 Cr guide is achievable depends on geopolitical/freight normalization that is outside management's control -- not resolved this pass</w:t>
      </w:r>
    </w:p>
    <w:p>
      <w:pPr>
        <w:pStyle w:val="ListParagraph"/>
        <w:numPr>
          <w:ilvl w:val="0"/>
          <w:numId w:val="1"/>
        </w:numPr>
        <w:spacing w:after="60"/>
      </w:pPr>
      <w:r>
        <w:t xml:space="preserve">quality_metrics.fcf_conversion_pct below is a rough 3-year estimate; exact FY24/FY25/FY26 EBITDA figures were not separately sourced this pass, only margin percentages and revenue</w:t>
      </w:r>
    </w:p>
    <w:p>
      <w:pPr>
        <w:spacing w:after="120" w:before="120"/>
      </w:pPr>
      <w:r>
        <w:rPr>
          <w:b/>
          <w:bCs/>
          <w:sz w:val="20"/>
          <w:szCs w:val="20"/>
        </w:rPr>
        <w:t xml:space="preserve">Conviction impact: </w:t>
      </w:r>
      <w:r>
        <w:rPr>
          <w:sz w:val="20"/>
          <w:szCs w:val="20"/>
        </w:rPr>
        <w:t xml:space="preserve">Medium -&gt; Medium-High. Genuine, multi-quarter evidenced acceleration (FY26 PAT +29.84% YoY on revenue +15.88%; TTM profit growth 38%) with a working new plant and unchanged, still-reasonable valuation (~30x) support the upgrade. thesis_fit is held at 'neither' despite a clean four_box score of 4.0 because the growth here is linear and capacity/distribution-driven rather than the asymmetric-optionality kind the 10x-in-2-3-years label is meant to capture.</w:t>
      </w:r>
    </w:p>
    <w:p>
      <w:pPr>
        <w:pStyle w:val="Heading1"/>
        <w:spacing w:after="120" w:before="280"/>
      </w:pPr>
      <w:r>
        <w:t xml:space="preserve">Guidance &amp; Expectation Gap</w:t>
      </w:r>
    </w:p>
    <w:p>
      <w:pPr>
        <w:spacing w:after="120"/>
      </w:pPr>
      <w:r>
        <w:rPr>
          <w:i/>
          <w:iCs/>
          <w:color w:val="666666"/>
          <w:sz w:val="18"/>
          <w:szCs w:val="18"/>
        </w:rPr>
        <w:t xml:space="preserve">Management guidance decoded into commitments, graded on the expectation → action → operational → commercial → financial ladder, then compared to what the current price appears to assume. Method: playbook/guidance-and-expectation-gap.md.</w:t>
      </w:r>
    </w:p>
    <w:p>
      <w:pPr>
        <w:spacing w:after="120"/>
      </w:pPr>
      <w:r>
        <w:rPr>
          <w:b/>
          <w:bCs/>
          <w:sz w:val="20"/>
          <w:szCs w:val="20"/>
        </w:rPr>
        <w:t xml:space="preserve">Commitment ladder (most-proven first):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2400"/>
        <w:gridCol w:w="900"/>
        <w:gridCol w:w="1200"/>
        <w:gridCol w:w="800"/>
      </w:tblGrid>
      <w:tr>
        <w:trPr>
          <w:tblHeader/>
        </w:trPr>
        <w:tc>
          <w:tcPr>
            <w:tcW w:type="dxa" w:w="1100"/>
            <w:shd w:fill="F2F2F2" w:val="clear"/>
          </w:tcPr>
          <w:p>
            <w:r>
              <w:rPr>
                <w:b/>
                <w:bCs/>
                <w:sz w:val="18"/>
                <w:szCs w:val="18"/>
              </w:rPr>
              <w:t xml:space="preserve">Area</w:t>
            </w:r>
          </w:p>
        </w:tc>
        <w:tc>
          <w:tcPr>
            <w:tcW w:type="dxa" w:w="2600"/>
            <w:shd w:fill="F2F2F2" w:val="clear"/>
          </w:tcPr>
          <w:p>
            <w:r>
              <w:rPr>
                <w:b/>
                <w:bCs/>
                <w:sz w:val="18"/>
                <w:szCs w:val="18"/>
              </w:rPr>
              <w:t xml:space="preserve">Commitment</w:t>
            </w:r>
          </w:p>
        </w:tc>
        <w:tc>
          <w:tcPr>
            <w:tcW w:type="dxa" w:w="2400"/>
            <w:shd w:fill="F2F2F2" w:val="clear"/>
          </w:tcPr>
          <w:p>
            <w:r>
              <w:rPr>
                <w:b/>
                <w:bCs/>
                <w:sz w:val="18"/>
                <w:szCs w:val="18"/>
              </w:rPr>
              <w:t xml:space="preserve">Specifics</w:t>
            </w:r>
          </w:p>
        </w:tc>
        <w:tc>
          <w:tcPr>
            <w:tcW w:type="dxa" w:w="900"/>
            <w:shd w:fill="F2F2F2" w:val="clear"/>
          </w:tcPr>
          <w:p>
            <w:r>
              <w:rPr>
                <w:b/>
                <w:bCs/>
                <w:sz w:val="18"/>
                <w:szCs w:val="18"/>
              </w:rPr>
              <w:t xml:space="preserve">By when</w:t>
            </w:r>
          </w:p>
        </w:tc>
        <w:tc>
          <w:tcPr>
            <w:tcW w:type="dxa" w:w="1200"/>
            <w:shd w:fill="F2F2F2" w:val="clear"/>
          </w:tcPr>
          <w:p>
            <w:r>
              <w:rPr>
                <w:b/>
                <w:bCs/>
                <w:sz w:val="18"/>
                <w:szCs w:val="18"/>
              </w:rPr>
              <w:t xml:space="preserve">Stage</w:t>
            </w:r>
          </w:p>
        </w:tc>
        <w:tc>
          <w:tcPr>
            <w:tcW w:type="dxa" w:w="800"/>
            <w:shd w:fill="F2F2F2" w:val="clear"/>
          </w:tcPr>
          <w:p>
            <w:r>
              <w:rPr>
                <w:b/>
                <w:bCs/>
                <w:sz w:val="18"/>
                <w:szCs w:val="18"/>
              </w:rPr>
              <w:t xml:space="preserve">Thesis-critical</w:t>
            </w:r>
          </w:p>
        </w:tc>
      </w:tr>
      <w:tr>
        <w:tc>
          <w:tcPr>
            <w:tcW w:type="dxa" w:w="1100"/>
          </w:tcPr>
          <w:p>
            <w:r>
              <w:rPr>
                <w:b w:val="false"/>
                <w:bCs w:val="false"/>
                <w:sz w:val="18"/>
                <w:szCs w:val="18"/>
              </w:rPr>
              <w:t xml:space="preserve">orders</w:t>
            </w:r>
          </w:p>
        </w:tc>
        <w:tc>
          <w:tcPr>
            <w:tcW w:type="dxa" w:w="2600"/>
          </w:tcPr>
          <w:p>
            <w:r>
              <w:rPr>
                <w:b w:val="false"/>
                <w:bCs w:val="false"/>
                <w:sz w:val="18"/>
                <w:szCs w:val="18"/>
              </w:rPr>
              <w:t xml:space="preserve">Retail distribution at major US/UK chains</w:t>
            </w:r>
          </w:p>
        </w:tc>
        <w:tc>
          <w:tcPr>
            <w:tcW w:type="dxa" w:w="2400"/>
          </w:tcPr>
          <w:p>
            <w:r>
              <w:rPr>
                <w:b w:val="false"/>
                <w:bCs w:val="false"/>
                <w:sz w:val="18"/>
                <w:szCs w:val="18"/>
              </w:rPr>
              <w:t xml:space="preserve">Costco, Safeway-Albertsons, Whole Foods Market listings across 60+ export countries</w:t>
            </w:r>
          </w:p>
        </w:tc>
        <w:tc>
          <w:tcPr>
            <w:tcW w:type="dxa" w:w="900"/>
          </w:tcPr>
          <w:p>
            <w:r>
              <w:rPr>
                <w:b w:val="false"/>
                <w:bCs w:val="false"/>
                <w:sz w:val="18"/>
                <w:szCs w:val="18"/>
              </w:rPr>
              <w:t xml:space="preserve">3M</w:t>
            </w:r>
          </w:p>
        </w:tc>
        <w:tc>
          <w:tcPr>
            <w:tcW w:type="dxa" w:w="1200"/>
          </w:tcPr>
          <w:p>
            <w:r>
              <w:rPr>
                <w:b w:val="false"/>
                <w:bCs w:val="false"/>
                <w:sz w:val="18"/>
                <w:szCs w:val="18"/>
              </w:rPr>
              <w:t xml:space="preserve">commercial</w:t>
            </w:r>
          </w:p>
        </w:tc>
        <w:tc>
          <w:tcPr>
            <w:tcW w:type="dxa" w:w="800"/>
          </w:tcPr>
          <w:p>
            <w:r>
              <w:rPr>
                <w:b w:val="false"/>
                <w:bCs w:val="false"/>
                <w:sz w:val="18"/>
                <w:szCs w:val="18"/>
              </w:rPr>
              <w:t xml:space="preserve">yes</w:t>
            </w:r>
          </w:p>
        </w:tc>
      </w:tr>
      <w:tr>
        <w:tc>
          <w:tcPr>
            <w:tcW w:type="dxa" w:w="1100"/>
          </w:tcPr>
          <w:p>
            <w:r>
              <w:rPr>
                <w:b w:val="false"/>
                <w:bCs w:val="false"/>
                <w:sz w:val="18"/>
                <w:szCs w:val="18"/>
              </w:rPr>
              <w:t xml:space="preserve">capacity</w:t>
            </w:r>
          </w:p>
        </w:tc>
        <w:tc>
          <w:tcPr>
            <w:tcW w:type="dxa" w:w="2600"/>
          </w:tcPr>
          <w:p>
            <w:r>
              <w:rPr>
                <w:b w:val="false"/>
                <w:bCs w:val="false"/>
                <w:sz w:val="18"/>
                <w:szCs w:val="18"/>
              </w:rPr>
              <w:t xml:space="preserve">Surat Greenfield frozen-foods plant ramping to full utilization</w:t>
            </w:r>
          </w:p>
        </w:tc>
        <w:tc>
          <w:tcPr>
            <w:tcW w:type="dxa" w:w="2400"/>
          </w:tcPr>
          <w:p>
            <w:r>
              <w:rPr>
                <w:b w:val="false"/>
                <w:bCs w:val="false"/>
                <w:sz w:val="18"/>
                <w:szCs w:val="18"/>
              </w:rPr>
              <w:t xml:space="preserve">10,000 MT added (total 38,000 MT); up to Rs 250 Cr incremental revenue potential; ~30% utilization expected FY27, full ramp over 2-3 years</w:t>
            </w:r>
          </w:p>
        </w:tc>
        <w:tc>
          <w:tcPr>
            <w:tcW w:type="dxa" w:w="900"/>
          </w:tcPr>
          <w:p>
            <w:r>
              <w:rPr>
                <w:b w:val="false"/>
                <w:bCs w:val="false"/>
                <w:sz w:val="18"/>
                <w:szCs w:val="18"/>
              </w:rPr>
              <w:t xml:space="preserve">beyond</w:t>
            </w:r>
          </w:p>
        </w:tc>
        <w:tc>
          <w:tcPr>
            <w:tcW w:type="dxa" w:w="1200"/>
          </w:tcPr>
          <w:p>
            <w:r>
              <w:rPr>
                <w:b w:val="false"/>
                <w:bCs w:val="false"/>
                <w:sz w:val="18"/>
                <w:szCs w:val="18"/>
              </w:rPr>
              <w:t xml:space="preserve">operational</w:t>
            </w:r>
          </w:p>
        </w:tc>
        <w:tc>
          <w:tcPr>
            <w:tcW w:type="dxa" w:w="800"/>
          </w:tcPr>
          <w:p>
            <w:r>
              <w:rPr>
                <w:b w:val="false"/>
                <w:bCs w:val="false"/>
                <w:sz w:val="18"/>
                <w:szCs w:val="18"/>
              </w:rPr>
              <w:t xml:space="preserve">yes</w:t>
            </w:r>
          </w:p>
        </w:tc>
      </w:tr>
      <w:tr>
        <w:tc>
          <w:tcPr>
            <w:tcW w:type="dxa" w:w="1100"/>
          </w:tcPr>
          <w:p>
            <w:r>
              <w:rPr>
                <w:b w:val="false"/>
                <w:bCs w:val="false"/>
                <w:sz w:val="18"/>
                <w:szCs w:val="18"/>
              </w:rPr>
              <w:t xml:space="preserve">growth</w:t>
            </w:r>
          </w:p>
        </w:tc>
        <w:tc>
          <w:tcPr>
            <w:tcW w:type="dxa" w:w="2600"/>
          </w:tcPr>
          <w:p>
            <w:r>
              <w:rPr>
                <w:b w:val="false"/>
                <w:bCs w:val="false"/>
                <w:sz w:val="18"/>
                <w:szCs w:val="18"/>
              </w:rPr>
              <w:t xml:space="preserve">FY27 revenue guidance of upwards of Rs 900 Cr</w:t>
            </w:r>
          </w:p>
        </w:tc>
        <w:tc>
          <w:tcPr>
            <w:tcW w:type="dxa" w:w="2400"/>
          </w:tcPr>
          <w:p>
            <w:r>
              <w:rPr>
                <w:b w:val="false"/>
                <w:bCs w:val="false"/>
                <w:sz w:val="18"/>
                <w:szCs w:val="18"/>
              </w:rPr>
              <w:t xml:space="preserve">~32% growth vs FY26's Rs 683 Cr, explicitly conditional on geopolitical/freight stabilization</w:t>
            </w:r>
          </w:p>
        </w:tc>
        <w:tc>
          <w:tcPr>
            <w:tcW w:type="dxa" w:w="900"/>
          </w:tcPr>
          <w:p>
            <w:r>
              <w:rPr>
                <w:b w:val="false"/>
                <w:bCs w:val="false"/>
                <w:sz w:val="18"/>
                <w:szCs w:val="18"/>
              </w:rPr>
              <w:t xml:space="preserve">FY27</w:t>
            </w:r>
          </w:p>
        </w:tc>
        <w:tc>
          <w:tcPr>
            <w:tcW w:type="dxa" w:w="1200"/>
          </w:tcPr>
          <w:p>
            <w:r>
              <w:rPr>
                <w:b w:val="false"/>
                <w:bCs w:val="false"/>
                <w:sz w:val="18"/>
                <w:szCs w:val="18"/>
              </w:rPr>
              <w:t xml:space="preserve">expectation</w:t>
            </w:r>
          </w:p>
        </w:tc>
        <w:tc>
          <w:tcPr>
            <w:tcW w:type="dxa" w:w="800"/>
          </w:tcPr>
          <w:p>
            <w:r>
              <w:rPr>
                <w:b w:val="false"/>
                <w:bCs w:val="false"/>
                <w:sz w:val="18"/>
                <w:szCs w:val="18"/>
              </w:rPr>
              <w:t xml:space="preserve">yes</w:t>
            </w:r>
          </w:p>
        </w:tc>
      </w:tr>
      <w:tr>
        <w:tc>
          <w:tcPr>
            <w:tcW w:type="dxa" w:w="1100"/>
          </w:tcPr>
          <w:p>
            <w:r>
              <w:rPr>
                <w:b w:val="false"/>
                <w:bCs w:val="false"/>
                <w:sz w:val="18"/>
                <w:szCs w:val="18"/>
              </w:rPr>
              <w:t xml:space="preserve">margin</w:t>
            </w:r>
          </w:p>
        </w:tc>
        <w:tc>
          <w:tcPr>
            <w:tcW w:type="dxa" w:w="2600"/>
          </w:tcPr>
          <w:p>
            <w:r>
              <w:rPr>
                <w:b w:val="false"/>
                <w:bCs w:val="false"/>
                <w:sz w:val="18"/>
                <w:szCs w:val="18"/>
              </w:rPr>
              <w:t xml:space="preserve">US Customs tariff refund</w:t>
            </w:r>
          </w:p>
        </w:tc>
        <w:tc>
          <w:tcPr>
            <w:tcW w:type="dxa" w:w="2400"/>
          </w:tcPr>
          <w:p>
            <w:r>
              <w:rPr>
                <w:b w:val="false"/>
                <w:bCs w:val="false"/>
                <w:sz w:val="18"/>
                <w:szCs w:val="18"/>
              </w:rPr>
              <w:t xml:space="preserve">USD 2.1mn (~Rs 20 Cr) refund received July 2026</w:t>
            </w:r>
          </w:p>
        </w:tc>
        <w:tc>
          <w:tcPr>
            <w:tcW w:type="dxa" w:w="900"/>
          </w:tcPr>
          <w:p>
            <w:r>
              <w:rPr>
                <w:b w:val="false"/>
                <w:bCs w:val="false"/>
                <w:sz w:val="18"/>
                <w:szCs w:val="18"/>
              </w:rPr>
              <w:t xml:space="preserve">3M</w:t>
            </w:r>
          </w:p>
        </w:tc>
        <w:tc>
          <w:tcPr>
            <w:tcW w:type="dxa" w:w="1200"/>
          </w:tcPr>
          <w:p>
            <w:r>
              <w:rPr>
                <w:b w:val="false"/>
                <w:bCs w:val="false"/>
                <w:sz w:val="18"/>
                <w:szCs w:val="18"/>
              </w:rPr>
              <w:t xml:space="preserve">financial</w:t>
            </w:r>
          </w:p>
        </w:tc>
        <w:tc>
          <w:tcPr>
            <w:tcW w:type="dxa" w:w="800"/>
          </w:tcPr>
          <w:p>
            <w:r>
              <w:rPr>
                <w:b w:val="false"/>
                <w:bCs w:val="false"/>
                <w:sz w:val="18"/>
                <w:szCs w:val="18"/>
              </w:rPr>
              <w:t xml:space="preserve"/>
            </w:r>
          </w:p>
        </w:tc>
      </w:tr>
    </w:tbl>
    <w:p>
      <w:pPr>
        <w:spacing w:after="60" w:before="120"/>
      </w:pPr>
      <w:r>
        <w:rPr>
          <w:b/>
          <w:bCs/>
          <w:sz w:val="20"/>
          <w:szCs w:val="20"/>
        </w:rPr>
        <w:t xml:space="preserve">Earnings chain: </w:t>
      </w:r>
      <w:r>
        <w:rPr>
          <w:b w:val="false"/>
          <w:bCs w:val="false"/>
          <w:sz w:val="20"/>
          <w:szCs w:val="20"/>
        </w:rPr>
        <w:t xml:space="preserve">Ashoka brand diaspora + mainstream demand</w:t>
      </w:r>
      <w:r>
        <w:rPr>
          <w:color w:val="666666"/>
          <w:sz w:val="20"/>
          <w:szCs w:val="20"/>
        </w:rPr>
        <w:t xml:space="preserve"> → </w:t>
      </w:r>
      <w:r>
        <w:rPr>
          <w:b w:val="false"/>
          <w:bCs w:val="false"/>
          <w:sz w:val="20"/>
          <w:szCs w:val="20"/>
        </w:rPr>
        <w:t xml:space="preserve">US/UK retail shelf expansion (Costco, Whole Foods, Safeway-Albertsons)</w:t>
      </w:r>
      <w:r>
        <w:rPr>
          <w:color w:val="666666"/>
          <w:sz w:val="20"/>
          <w:szCs w:val="20"/>
        </w:rPr>
        <w:t xml:space="preserve"> → </w:t>
      </w:r>
      <w:r>
        <w:rPr>
          <w:b w:val="false"/>
          <w:bCs w:val="false"/>
          <w:sz w:val="20"/>
          <w:szCs w:val="20"/>
        </w:rPr>
        <w:t xml:space="preserve">Surat plant capacity ramp</w:t>
      </w:r>
      <w:r>
        <w:rPr>
          <w:color w:val="666666"/>
          <w:sz w:val="20"/>
          <w:szCs w:val="20"/>
        </w:rPr>
        <w:t xml:space="preserve"> → </w:t>
      </w:r>
      <w:r>
        <w:rPr>
          <w:b w:val="false"/>
          <w:bCs w:val="false"/>
          <w:sz w:val="20"/>
          <w:szCs w:val="20"/>
        </w:rPr>
        <w:t xml:space="preserve">revenue growth (FY26 +15.9% YoY, Q1 FY27 +25.9% YoY, FY27 guide +32%)</w:t>
      </w:r>
      <w:r>
        <w:rPr>
          <w:color w:val="666666"/>
          <w:sz w:val="20"/>
          <w:szCs w:val="20"/>
        </w:rPr>
        <w:t xml:space="preserve"> → </w:t>
      </w:r>
      <w:r>
        <w:rPr>
          <w:b w:val="false"/>
          <w:bCs w:val="false"/>
          <w:sz w:val="20"/>
          <w:szCs w:val="20"/>
        </w:rPr>
        <w:t xml:space="preserve">operating leverage / margin</w:t>
      </w:r>
      <w:r>
        <w:rPr>
          <w:color w:val="666666"/>
          <w:sz w:val="20"/>
          <w:szCs w:val="20"/>
        </w:rPr>
        <w:t xml:space="preserve"> → </w:t>
      </w:r>
      <w:r>
        <w:rPr>
          <w:b w:val="false"/>
          <w:bCs w:val="false"/>
          <w:sz w:val="20"/>
          <w:szCs w:val="20"/>
        </w:rPr>
        <w:t xml:space="preserve">PAT growth (FY26 +29.84% YoY, TTM +38%)</w:t>
      </w:r>
    </w:p>
    <w:p>
      <w:pPr>
        <w:spacing w:after="120"/>
      </w:pPr>
      <w:r>
        <w:rPr>
          <w:color w:val="666666"/>
          <w:sz w:val="18"/>
          <w:szCs w:val="18"/>
        </w:rPr>
        <w:t xml:space="preserve">Bottleneck link: Surat plant utilization ramp (only ~30% expected in FY27) plus geopolitical/freight disruption (Middle East conflict, container shortages).</w:t>
      </w:r>
    </w:p>
    <w:p>
      <w:pPr>
        <w:spacing w:after="120"/>
      </w:pPr>
      <w:r>
        <w:rPr>
          <w:color w:val="666666"/>
          <w:sz w:val="18"/>
          <w:szCs w:val="18"/>
        </w:rPr>
        <w:t xml:space="preserve">Operating leverage: yes -- FY26 PAT growth (29.84%) outpaced revenue growth (15.88%), and TTM profit growth (38%) is running well ahead of TTM sales growth (19%)</w:t>
      </w:r>
    </w:p>
    <w:p>
      <w:pPr>
        <w:spacing w:after="120"/>
      </w:pPr>
      <w:r>
        <w:rPr>
          <w:color w:val="666666"/>
          <w:sz w:val="18"/>
          <w:szCs w:val="18"/>
        </w:rPr>
        <w:t xml:space="preserve">Evidenced: Ashoka brand diaspora + mainstream demand; US/UK retail shelf expansion; revenue growth; operating leverage / margin; PAT growth. Still assumed: Surat plant capacity ramp to full utilization; FY27 Rs 900 Cr revenue guide.</w:t>
      </w:r>
    </w:p>
    <w:p>
      <w:pPr>
        <w:spacing w:after="120"/>
      </w:pPr>
      <w:r>
        <w:rPr>
          <w:b/>
          <w:bCs/>
          <w:sz w:val="20"/>
          <w:szCs w:val="20"/>
        </w:rPr>
        <w:t xml:space="preserve">Market expectation vs. our path: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As of</w:t>
            </w:r>
          </w:p>
        </w:tc>
        <w:tc>
          <w:tcPr>
            <w:tcW w:type="dxa" w:w="5800"/>
          </w:tcPr>
          <w:p>
            <w:r>
              <w:t xml:space="preserve">2026-09-05</w:t>
            </w:r>
          </w:p>
        </w:tc>
      </w:tr>
      <w:tr>
        <w:tc>
          <w:tcPr>
            <w:tcW w:type="dxa" w:w="3200"/>
            <w:shd w:fill="F2F2F2" w:val="clear"/>
          </w:tcPr>
          <w:p>
            <w:r>
              <w:rPr>
                <w:b/>
                <w:bCs/>
              </w:rPr>
              <w:t xml:space="preserve">Price / multiple</w:t>
            </w:r>
          </w:p>
        </w:tc>
        <w:tc>
          <w:tcPr>
            <w:tcW w:type="dxa" w:w="5800"/>
          </w:tcPr>
          <w:p>
            <w:r>
              <w:t xml:space="preserve">Rs 176 · 29.7x P/E</w:t>
            </w:r>
          </w:p>
        </w:tc>
      </w:tr>
      <w:tr>
        <w:tc>
          <w:tcPr>
            <w:tcW w:type="dxa" w:w="3200"/>
            <w:shd w:fill="F2F2F2" w:val="clear"/>
          </w:tcPr>
          <w:p>
            <w:r>
              <w:rPr>
                <w:b/>
                <w:bCs/>
              </w:rPr>
              <w:t xml:space="preserve">Right valuation lens</w:t>
            </w:r>
          </w:p>
        </w:tc>
        <w:tc>
          <w:tcPr>
            <w:tcW w:type="dxa" w:w="5800"/>
          </w:tcPr>
          <w:p>
            <w:r>
              <w:t xml:space="preserve">P/E</w:t>
            </w:r>
          </w:p>
        </w:tc>
      </w:tr>
      <w:tr>
        <w:tc>
          <w:tcPr>
            <w:tcW w:type="dxa" w:w="3200"/>
            <w:shd w:fill="F2F2F2" w:val="clear"/>
          </w:tcPr>
          <w:p>
            <w:r>
              <w:rPr>
                <w:b/>
                <w:bCs/>
              </w:rPr>
              <w:t xml:space="preserve">Price implies</w:t>
            </w:r>
          </w:p>
        </w:tc>
        <w:tc>
          <w:tcPr>
            <w:tcW w:type="dxa" w:w="5800"/>
          </w:tcPr>
          <w:p>
            <w:r>
              <w:t xml:space="preserve">~30x trailing P/E vs a defensible ~25x exit (branded exporter with a real retail-shelf moat) implies only ~9.5% EPS CAGR FY26-28 needed for today's price to be fair</w:t>
            </w:r>
          </w:p>
        </w:tc>
      </w:tr>
      <w:tr>
        <w:tc>
          <w:tcPr>
            <w:tcW w:type="dxa" w:w="3200"/>
            <w:shd w:fill="F2F2F2" w:val="clear"/>
          </w:tcPr>
          <w:p>
            <w:r>
              <w:rPr>
                <w:b/>
                <w:bCs/>
              </w:rPr>
              <w:t xml:space="preserve">Our FY27</w:t>
            </w:r>
          </w:p>
        </w:tc>
        <w:tc>
          <w:tcPr>
            <w:tcW w:type="dxa" w:w="5800"/>
          </w:tcPr>
          <w:p>
            <w:r>
              <w:t xml:space="preserve">Revenue growth continuing above 20% (Q1 FY27 +25.9%), management guiding &gt;Rs 900 Cr (~32%) contingent on geopolitical/freight stabilization; PAT growth likely continuing ahead of revenue per the FY26/TTM trend (29.84%/38%)</w:t>
            </w:r>
          </w:p>
        </w:tc>
      </w:tr>
      <w:tr>
        <w:tc>
          <w:tcPr>
            <w:tcW w:type="dxa" w:w="3200"/>
            <w:shd w:fill="F2F2F2" w:val="clear"/>
          </w:tcPr>
          <w:p>
            <w:r>
              <w:rPr>
                <w:b/>
                <w:bCs/>
              </w:rPr>
              <w:t xml:space="preserve">Our FY28</w:t>
            </w:r>
          </w:p>
        </w:tc>
        <w:tc>
          <w:tcPr>
            <w:tcW w:type="dxa" w:w="5800"/>
          </w:tcPr>
          <w:p>
            <w:r>
              <w:t xml:space="preserve">Surat plant ramping toward full utilization (up to Rs 250 Cr incremental revenue, ~35% of FY26 base) as the 2-3 year ramp progresses, plus continued US/UK retail-shelf gains</w:t>
            </w:r>
          </w:p>
        </w:tc>
      </w:tr>
      <w:tr>
        <w:tc>
          <w:tcPr>
            <w:tcW w:type="dxa" w:w="3200"/>
            <w:shd w:fill="F2F2F2" w:val="clear"/>
          </w:tcPr>
          <w:p>
            <w:r>
              <w:rPr>
                <w:b/>
                <w:bCs/>
              </w:rPr>
              <w:t xml:space="preserve">Gap direction</w:t>
            </w:r>
          </w:p>
        </w:tc>
        <w:tc>
          <w:tcPr>
            <w:tcW w:type="dxa" w:w="5800"/>
          </w:tcPr>
          <w:p>
            <w:r>
              <w:t xml:space="preserve">underestimated</w:t>
            </w:r>
          </w:p>
        </w:tc>
      </w:tr>
      <w:tr>
        <w:tc>
          <w:tcPr>
            <w:tcW w:type="dxa" w:w="3200"/>
            <w:shd w:fill="F2F2F2" w:val="clear"/>
          </w:tcPr>
          <w:p>
            <w:r>
              <w:rPr>
                <w:b/>
                <w:bCs/>
              </w:rPr>
              <w:t xml:space="preserve">Gap type</w:t>
            </w:r>
          </w:p>
        </w:tc>
        <w:tc>
          <w:tcPr>
            <w:tcW w:type="dxa" w:w="5800"/>
          </w:tcPr>
          <w:p>
            <w:r>
              <w:t xml:space="preserve">volume</w:t>
            </w:r>
          </w:p>
        </w:tc>
      </w:tr>
      <w:tr>
        <w:tc>
          <w:tcPr>
            <w:tcW w:type="dxa" w:w="3200"/>
            <w:shd w:fill="F2F2F2" w:val="clear"/>
          </w:tcPr>
          <w:p>
            <w:r>
              <w:rPr>
                <w:b/>
                <w:bCs/>
              </w:rPr>
              <w:t xml:space="preserve">Gap magnitude</w:t>
            </w:r>
          </w:p>
        </w:tc>
        <w:tc>
          <w:tcPr>
            <w:tcW w:type="dxa" w:w="5800"/>
          </w:tcPr>
          <w:p>
            <w:r>
              <w:t xml:space="preserve">40% (our FY28 PAT vs implied)</w:t>
            </w:r>
          </w:p>
        </w:tc>
      </w:tr>
      <w:tr>
        <w:tc>
          <w:tcPr>
            <w:tcW w:type="dxa" w:w="3200"/>
            <w:shd w:fill="F2F2F2" w:val="clear"/>
          </w:tcPr>
          <w:p>
            <w:r>
              <w:rPr>
                <w:b/>
                <w:bCs/>
              </w:rPr>
              <w:t xml:space="preserve">Gap basis</w:t>
            </w:r>
          </w:p>
        </w:tc>
        <w:tc>
          <w:tcPr>
            <w:tcW w:type="dxa" w:w="5800"/>
          </w:tcPr>
          <w:p>
            <w:r>
              <w:t xml:space="preserve">the current ~30x multiple requires only ~9.5% EPS CAGR at a 25x exit; actual FY26 PAT growth (29.84%) and TTM profit growth (38%) are already running 3-4x that pace, and the Surat capacity ramp plus the FY27 Rs 900 Cr guide point to continued strong growth the market has not yet re-rated for</w:t>
            </w:r>
          </w:p>
        </w:tc>
      </w:tr>
      <w:tr>
        <w:tc>
          <w:tcPr>
            <w:tcW w:type="dxa" w:w="3200"/>
            <w:shd w:fill="F2F2F2" w:val="clear"/>
          </w:tcPr>
          <w:p>
            <w:r>
              <w:rPr>
                <w:b/>
                <w:bCs/>
              </w:rPr>
              <w:t xml:space="preserve">Evidence quality</w:t>
            </w:r>
          </w:p>
        </w:tc>
        <w:tc>
          <w:tcPr>
            <w:tcW w:type="dxa" w:w="5800"/>
          </w:tcPr>
          <w:p>
            <w:r>
              <w:t xml:space="preserve">strong</w:t>
            </w:r>
          </w:p>
        </w:tc>
      </w:tr>
    </w:tbl>
    <w:p>
      <w:pPr>
        <w:spacing w:after="120"/>
      </w:pPr>
      <w:r>
        <w:rPr>
          <w:i/>
          <w:iCs/>
          <w:color w:val="666666"/>
          <w:sz w:val="16"/>
          <w:szCs w:val="16"/>
        </w:rPr>
        <w:t xml:space="preserve">no broker consensus; implied path is a reverse-P/E estimate + screener.in forward figures + VP thread view</w:t>
      </w:r>
    </w:p>
    <w:p>
      <w:pPr>
        <w:spacing w:after="120" w:before="120"/>
      </w:pPr>
      <w:r>
        <w:rPr>
          <w:b/>
          <w:bCs/>
          <w:sz w:val="20"/>
          <w:szCs w:val="20"/>
        </w:rPr>
        <w:t xml:space="preserve">Catalyst: </w:t>
      </w:r>
      <w:r>
        <w:rPr>
          <w:sz w:val="20"/>
          <w:szCs w:val="20"/>
        </w:rPr>
        <w:t xml:space="preserve">Surat plant utilization ramp showing up in reported quarterly revenue/margin, and/or FY27 revenue tracking toward the Rs 900 Cr guide</w:t>
      </w:r>
      <w:r>
        <w:rPr>
          <w:color w:val="666666"/>
          <w:sz w:val="18"/>
          <w:szCs w:val="18"/>
        </w:rPr>
        <w:t xml:space="preserve"> (window ~9M from 2026-09-05; undated; evidence med; pending)</w:t>
      </w:r>
    </w:p>
    <w:p>
      <w:pPr>
        <w:pStyle w:val="Heading1"/>
        <w:spacing w:after="120" w:before="280"/>
      </w:pPr>
      <w:r>
        <w:t xml:space="preserve">Ishmohit-Lens Checks (value chain · earnings quality · growth trajectory · management · quality metrics · track record · global-signal check)</w:t>
      </w:r>
    </w:p>
    <w:p>
      <w:pPr>
        <w:spacing w:after="120"/>
      </w:pPr>
      <w:r>
        <w:rPr>
          <w:i/>
          <w:iCs/>
          <w:color w:val="666666"/>
          <w:sz w:val="18"/>
          <w:szCs w:val="18"/>
        </w:rPr>
        <w:t xml:space="preserve">Extra checks drawn from @ishmohit1 / SOIC methodology (playbook/ishmohit-soic-style.md): where the company sits in its value chain and what the supply side is doing, whether a margin/PAT inflection is structural or a cyclical peak, the rate-of-change of growth vs. what the multiple demands, and management quality as a positive attribute.</w:t>
      </w:r>
    </w:p>
    <w:p>
      <w:pPr>
        <w:spacing w:after="120"/>
      </w:pPr>
      <w:r>
        <w:rPr>
          <w:b/>
          <w:bCs/>
          <w:sz w:val="20"/>
          <w:szCs w:val="20"/>
        </w:rPr>
        <w:t xml:space="preserve">Value chain &amp; supply side: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Theme</w:t>
            </w:r>
          </w:p>
        </w:tc>
        <w:tc>
          <w:tcPr>
            <w:tcW w:type="dxa" w:w="5800"/>
          </w:tcPr>
          <w:p>
            <w:r>
              <w:t xml:space="preserve">ethnic/Indian ready-to-eat and ready-to-cook food exports (diaspora + mainstream crossover)</w:t>
            </w:r>
          </w:p>
        </w:tc>
      </w:tr>
      <w:tr>
        <w:tc>
          <w:tcPr>
            <w:tcW w:type="dxa" w:w="3200"/>
            <w:shd w:fill="F2F2F2" w:val="clear"/>
          </w:tcPr>
          <w:p>
            <w:r>
              <w:rPr>
                <w:b/>
                <w:bCs/>
              </w:rPr>
              <w:t xml:space="preserve">This company's position</w:t>
            </w:r>
          </w:p>
        </w:tc>
        <w:tc>
          <w:tcPr>
            <w:tcW w:type="dxa" w:w="5800"/>
          </w:tcPr>
          <w:p>
            <w:r>
              <w:t xml:space="preserve">branded exporter (Ashoka) with direct retail listings at major US/UK chains</w:t>
            </w:r>
          </w:p>
        </w:tc>
      </w:tr>
      <w:tr>
        <w:tc>
          <w:tcPr>
            <w:tcW w:type="dxa" w:w="3200"/>
            <w:shd w:fill="F2F2F2" w:val="clear"/>
          </w:tcPr>
          <w:p>
            <w:r>
              <w:rPr>
                <w:b/>
                <w:bCs/>
              </w:rPr>
              <w:t xml:space="preserve">Bottleneck node (pricing power)</w:t>
            </w:r>
          </w:p>
        </w:tc>
        <w:tc>
          <w:tcPr>
            <w:tcW w:type="dxa" w:w="5800"/>
          </w:tcPr>
          <w:p>
            <w:r>
              <w:t xml:space="preserve">new-capacity utilization ramp (Surat) and international freight/logistics reliability</w:t>
            </w:r>
          </w:p>
        </w:tc>
      </w:tr>
      <w:tr>
        <w:tc>
          <w:tcPr>
            <w:tcW w:type="dxa" w:w="3200"/>
            <w:shd w:fill="F2F2F2" w:val="clear"/>
          </w:tcPr>
          <w:p>
            <w:r>
              <w:rPr>
                <w:b/>
                <w:bCs/>
              </w:rPr>
              <w:t xml:space="preserve">Supply-side status</w:t>
            </w:r>
          </w:p>
        </w:tc>
        <w:tc>
          <w:tcPr>
            <w:tcW w:type="dxa" w:w="5800"/>
          </w:tcPr>
          <w:p>
            <w:r>
              <w:t xml:space="preserve">balanced</w:t>
            </w:r>
          </w:p>
        </w:tc>
      </w:tr>
      <w:tr>
        <w:tc>
          <w:tcPr>
            <w:tcW w:type="dxa" w:w="3200"/>
            <w:shd w:fill="F2F2F2" w:val="clear"/>
          </w:tcPr>
          <w:p>
            <w:r>
              <w:rPr>
                <w:b/>
                <w:bCs/>
              </w:rPr>
              <w:t xml:space="preserve">Adjacent-node peers</w:t>
            </w:r>
          </w:p>
        </w:tc>
        <w:tc>
          <w:tcPr>
            <w:tcW w:type="dxa" w:w="5800"/>
          </w:tcPr>
          <w:p>
            <w:r>
              <w:t xml:space="preserve">Haldiram's, MTR Foods (Orkla), Deep Foods (US), Bikaji Foods International</w:t>
            </w:r>
          </w:p>
        </w:tc>
      </w:tr>
    </w:tbl>
    <w:p>
      <w:pPr>
        <w:spacing w:after="120"/>
      </w:pPr>
      <w:r>
        <w:rPr>
          <w:color w:val="666666"/>
          <w:sz w:val="18"/>
          <w:szCs w:val="18"/>
        </w:rPr>
        <w:t xml:space="preserve">Direct shelf placement at Costco, Whole Foods, and Safeway-Albertsons is a real, hard-to-replicate distribution moat for a company this size; a community member (manomagg3, Sweden) explicitly frames Ashoka as a Haldiram competitor in export markets.</w:t>
      </w:r>
    </w:p>
    <w:p>
      <w:pPr>
        <w:spacing w:after="60" w:before="120"/>
      </w:pPr>
      <w:r>
        <w:rPr>
          <w:b/>
          <w:bCs/>
          <w:sz w:val="20"/>
          <w:szCs w:val="20"/>
        </w:rPr>
        <w:t xml:space="preserve">Earnings quality: </w:t>
      </w:r>
      <w:r>
        <w:rPr>
          <w:sz w:val="20"/>
          <w:szCs w:val="20"/>
        </w:rPr>
        <w:t xml:space="preserve">margin driver structural</w:t>
      </w:r>
      <w:r>
        <w:rPr>
          <w:b/>
          <w:bCs/>
          <w:color w:val="A32020"/>
          <w:sz w:val="20"/>
          <w:szCs w:val="20"/>
        </w:rPr>
        <w:t xml:space="preserve"/>
      </w:r>
    </w:p>
    <w:p>
      <w:pPr>
        <w:spacing w:after="120"/>
      </w:pPr>
      <w:r>
        <w:rPr>
          <w:color w:val="666666"/>
          <w:sz w:val="18"/>
          <w:szCs w:val="18"/>
        </w:rPr>
        <w:t xml:space="preserve">Drivers: mix shift toward higher-margin processed foods/Ashoka brand vs lower-margin Unilever distribution; operating leverage as the Surat plant's overhead is absorbed with volume.</w:t>
      </w:r>
    </w:p>
    <w:p>
      <w:pPr>
        <w:spacing w:after="120"/>
      </w:pPr>
      <w:r>
        <w:rPr>
          <w:color w:val="666666"/>
          <w:sz w:val="18"/>
          <w:szCs w:val="18"/>
        </w:rPr>
        <w:t xml:space="preserve">EBITDA margin has ranged ~17-19% over the last few quarters; Q1 FY27's dip to 17.7% (from Q3 FY26's 19.4%) reflects freight/logistics cost pressure flagged by the community as temporary, not a structural peak being given back.</w:t>
      </w:r>
    </w:p>
    <w:p>
      <w:pPr>
        <w:spacing w:after="60" w:before="120"/>
      </w:pPr>
      <w:r>
        <w:rPr>
          <w:b/>
          <w:bCs/>
          <w:sz w:val="20"/>
          <w:szCs w:val="20"/>
        </w:rPr>
        <w:t xml:space="preserve">Growth trajectory: </w:t>
      </w:r>
      <w:r>
        <w:rPr>
          <w:b w:val="false"/>
          <w:bCs w:val="false"/>
          <w:sz w:val="20"/>
          <w:szCs w:val="20"/>
        </w:rPr>
        <w:t xml:space="preserve">YoY growth rate is accelerating</w:t>
      </w:r>
    </w:p>
    <w:p>
      <w:pPr>
        <w:spacing w:after="120"/>
      </w:pPr>
      <w:r>
        <w:rPr>
          <w:color w:val="666666"/>
          <w:sz w:val="18"/>
          <w:szCs w:val="18"/>
        </w:rPr>
        <w:t xml:space="preserve">FY26 full year revenue +15.88% YoY, PAT +29.84% YoY; Q3 FY26 revenue at an all-time high (Rs 191 Cr) with EBITDA margin 19.4%; Q1 FY27 revenue +25.9% YoY, PAT +13.4% YoY, EBITDA +26% YoY (margin 17.7%, down from Q3's 19.4% on freight-cost pressure). TTM sales/profit growth (19%/38%) both exceed their 3-yr (15%/20%) and 5-yr (13%/14%) averages.</w:t>
      </w:r>
    </w:p>
    <w:p>
      <w:pPr>
        <w:spacing w:after="120"/>
      </w:pPr>
      <w:r>
        <w:rPr>
          <w:color w:val="666666"/>
          <w:sz w:val="18"/>
          <w:szCs w:val="18"/>
        </w:rPr>
        <w:t xml:space="preserve">Reverse P/E: Current ~30x P/E needs only ~9.5% EPS CAGR at a 25x exit; actual FY26/TTM growth (29.84%/38%) is running well ahead of what's priced in.</w:t>
      </w:r>
    </w:p>
    <w:p>
      <w:pPr>
        <w:spacing w:after="120"/>
      </w:pPr>
      <w:r>
        <w:rPr>
          <w:b/>
          <w:bCs/>
          <w:sz w:val="20"/>
          <w:szCs w:val="20"/>
        </w:rPr>
        <w:t xml:space="preserve">Management quality (TVGP's "P"):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Assessment</w:t>
            </w:r>
          </w:p>
        </w:tc>
        <w:tc>
          <w:tcPr>
            <w:tcW w:type="dxa" w:w="5800"/>
          </w:tcPr>
          <w:p>
            <w:r>
              <w:t xml:space="preserve">positive</w:t>
            </w:r>
          </w:p>
        </w:tc>
      </w:tr>
      <w:tr>
        <w:tc>
          <w:tcPr>
            <w:tcW w:type="dxa" w:w="3200"/>
            <w:shd w:fill="F2F2F2" w:val="clear"/>
          </w:tcPr>
          <w:p>
            <w:r>
              <w:rPr>
                <w:b/>
                <w:bCs/>
              </w:rPr>
              <w:t xml:space="preserve">Capital allocation</w:t>
            </w:r>
          </w:p>
        </w:tc>
        <w:tc>
          <w:tcPr>
            <w:tcW w:type="dxa" w:w="5800"/>
          </w:tcPr>
          <w:p>
            <w:r>
              <w:t xml:space="preserve">Funded the Surat Greenfield plant (up to Rs 250 Cr incremental revenue potential) mostly from internal accruals/reserves with only a modest increase in borrowings (Rs 55 Cr, down slightly from Rs 59 Cr); cut the dividend payout ratio (77%-&gt;19%-&gt;15%) to prioritize reinvestment into capacity -- a reasonable trade-off given the growth opportunity (disciplined)</w:t>
            </w:r>
          </w:p>
        </w:tc>
      </w:tr>
      <w:tr>
        <w:tc>
          <w:tcPr>
            <w:tcW w:type="dxa" w:w="3200"/>
            <w:shd w:fill="F2F2F2" w:val="clear"/>
          </w:tcPr>
          <w:p>
            <w:r>
              <w:rPr>
                <w:b/>
                <w:bCs/>
              </w:rPr>
              <w:t xml:space="preserve">Related-party trend</w:t>
            </w:r>
          </w:p>
        </w:tc>
        <w:tc>
          <w:tcPr>
            <w:tcW w:type="dxa" w:w="5800"/>
          </w:tcPr>
          <w:p>
            <w:r>
              <w:t xml:space="preserve">unclear</w:t>
            </w:r>
          </w:p>
        </w:tc>
      </w:tr>
      <w:tr>
        <w:tc>
          <w:tcPr>
            <w:tcW w:type="dxa" w:w="3200"/>
            <w:shd w:fill="F2F2F2" w:val="clear"/>
          </w:tcPr>
          <w:p>
            <w:r>
              <w:rPr>
                <w:b/>
                <w:bCs/>
              </w:rPr>
              <w:t xml:space="preserve">Guidance credibility</w:t>
            </w:r>
          </w:p>
        </w:tc>
        <w:tc>
          <w:tcPr>
            <w:tcW w:type="dxa" w:w="5800"/>
          </w:tcPr>
          <w:p>
            <w:r>
              <w:t xml:space="preserve">reliable</w:t>
            </w:r>
          </w:p>
        </w:tc>
      </w:tr>
      <w:tr>
        <w:tc>
          <w:tcPr>
            <w:tcW w:type="dxa" w:w="3200"/>
            <w:shd w:fill="F2F2F2" w:val="clear"/>
          </w:tcPr>
          <w:p>
            <w:r>
              <w:rPr>
                <w:b/>
                <w:bCs/>
              </w:rPr>
              <w:t xml:space="preserve">Shareholder returns</w:t>
            </w:r>
          </w:p>
        </w:tc>
        <w:tc>
          <w:tcPr>
            <w:tcW w:type="dxa" w:w="5800"/>
          </w:tcPr>
          <w:p>
            <w:r>
              <w:t xml:space="preserve">consistent</w:t>
            </w:r>
          </w:p>
        </w:tc>
      </w:tr>
      <w:tr>
        <w:tc>
          <w:tcPr>
            <w:tcW w:type="dxa" w:w="3200"/>
            <w:shd w:fill="F2F2F2" w:val="clear"/>
          </w:tcPr>
          <w:p>
            <w:r>
              <w:rPr>
                <w:b/>
                <w:bCs/>
              </w:rPr>
              <w:t xml:space="preserve">Capability ladder / VAP</w:t>
            </w:r>
          </w:p>
        </w:tc>
        <w:tc>
          <w:tcPr>
            <w:tcW w:type="dxa" w:w="5800"/>
          </w:tcPr>
          <w:p>
            <w:r>
              <w:t xml:space="preserve">—</w:t>
            </w:r>
          </w:p>
        </w:tc>
      </w:tr>
    </w:tbl>
    <w:p>
      <w:pPr>
        <w:spacing w:after="120"/>
      </w:pPr>
      <w:r>
        <w:rPr>
          <w:b/>
          <w:bCs/>
          <w:sz w:val="20"/>
          <w:szCs w:val="20"/>
        </w:rPr>
        <w:t xml:space="preserve">Quality metrics (ROCE · debt · FCF · margin · capex):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Assessment</w:t>
            </w:r>
          </w:p>
        </w:tc>
        <w:tc>
          <w:tcPr>
            <w:tcW w:type="dxa" w:w="5800"/>
          </w:tcPr>
          <w:p>
            <w:r>
              <w:t xml:space="preserve">positive</w:t>
            </w:r>
          </w:p>
        </w:tc>
      </w:tr>
      <w:tr>
        <w:tc>
          <w:tcPr>
            <w:tcW w:type="dxa" w:w="3200"/>
            <w:shd w:fill="F2F2F2" w:val="clear"/>
          </w:tcPr>
          <w:p>
            <w:r>
              <w:rPr>
                <w:b/>
                <w:bCs/>
              </w:rPr>
              <w:t xml:space="preserve">ROCE</w:t>
            </w:r>
          </w:p>
        </w:tc>
        <w:tc>
          <w:tcPr>
            <w:tcW w:type="dxa" w:w="5800"/>
          </w:tcPr>
          <w:p>
            <w:r>
              <w:t xml:space="preserve">22% (stable)</w:t>
            </w:r>
          </w:p>
        </w:tc>
      </w:tr>
      <w:tr>
        <w:tc>
          <w:tcPr>
            <w:tcW w:type="dxa" w:w="3200"/>
            <w:shd w:fill="F2F2F2" w:val="clear"/>
          </w:tcPr>
          <w:p>
            <w:r>
              <w:rPr>
                <w:b/>
                <w:bCs/>
              </w:rPr>
              <w:t xml:space="preserve">Leverage</w:t>
            </w:r>
          </w:p>
        </w:tc>
        <w:tc>
          <w:tcPr>
            <w:tcW w:type="dxa" w:w="5800"/>
          </w:tcPr>
          <w:p>
            <w:r>
              <w:t xml:space="preserve">Net debt/EBITDA -0.17x</w:t>
            </w:r>
          </w:p>
        </w:tc>
      </w:tr>
      <w:tr>
        <w:tc>
          <w:tcPr>
            <w:tcW w:type="dxa" w:w="3200"/>
            <w:shd w:fill="F2F2F2" w:val="clear"/>
          </w:tcPr>
          <w:p>
            <w:r>
              <w:rPr>
                <w:b/>
                <w:bCs/>
              </w:rPr>
              <w:t xml:space="preserve">FCF conversion</w:t>
            </w:r>
          </w:p>
        </w:tc>
        <w:tc>
          <w:tcPr>
            <w:tcW w:type="dxa" w:w="5800"/>
          </w:tcPr>
          <w:p>
            <w:r>
              <w:t xml:space="preserve">8%</w:t>
            </w:r>
          </w:p>
        </w:tc>
      </w:tr>
      <w:tr>
        <w:tc>
          <w:tcPr>
            <w:tcW w:type="dxa" w:w="3200"/>
            <w:shd w:fill="F2F2F2" w:val="clear"/>
          </w:tcPr>
          <w:p>
            <w:r>
              <w:rPr>
                <w:b/>
                <w:bCs/>
              </w:rPr>
              <w:t xml:space="preserve">Margin trend</w:t>
            </w:r>
          </w:p>
        </w:tc>
        <w:tc>
          <w:tcPr>
            <w:tcW w:type="dxa" w:w="5800"/>
          </w:tcPr>
          <w:p>
            <w:r>
              <w:t xml:space="preserve">stable</w:t>
            </w:r>
          </w:p>
        </w:tc>
      </w:tr>
      <w:tr>
        <w:tc>
          <w:tcPr>
            <w:tcW w:type="dxa" w:w="3200"/>
            <w:shd w:fill="F2F2F2" w:val="clear"/>
          </w:tcPr>
          <w:p>
            <w:r>
              <w:rPr>
                <w:b/>
                <w:bCs/>
              </w:rPr>
              <w:t xml:space="preserve">Capex efficiency</w:t>
            </w:r>
          </w:p>
        </w:tc>
        <w:tc>
          <w:tcPr>
            <w:tcW w:type="dxa" w:w="5800"/>
          </w:tcPr>
          <w:p>
            <w:r>
              <w:t xml:space="preserve">productive</w:t>
            </w:r>
          </w:p>
        </w:tc>
      </w:tr>
    </w:tbl>
    <w:p>
      <w:pPr>
        <w:spacing w:after="60" w:before="120"/>
      </w:pPr>
      <w:r>
        <w:rPr>
          <w:b/>
          <w:bCs/>
          <w:sz w:val="20"/>
          <w:szCs w:val="20"/>
        </w:rPr>
        <w:t xml:space="preserve">Track record (Coffee Can persistence check): </w:t>
      </w:r>
      <w:r>
        <w:rPr>
          <w:sz w:val="20"/>
          <w:szCs w:val="20"/>
        </w:rPr>
        <w:t xml:space="preserve">cleared revenue growth ≥10% AND ROCE ≥15% in 7 of the last 11 years (consistency_score 64)</w:t>
      </w:r>
    </w:p>
    <w:p>
      <w:pPr>
        <w:spacing w:after="120"/>
      </w:pPr>
      <w:r>
        <w:rPr>
          <w:color w:val="666666"/>
          <w:sz w:val="18"/>
          <w:szCs w:val="18"/>
        </w:rPr>
        <w:t xml:space="preserve">FY16-FY26 (screener consolidated): flat-to-declining FY16-FY18 (ROCE 7-14%, ~no growth), then a clean run -- ROCE 17-28% and revenue +14-30% every year FY19-FY26 except FY23 (+7%). Both metrics cleared 7 of 11 (FY19, FY20, FY21, FY22, FY24, FY25, FY26); consistent ~37% dividend payout.</w:t>
      </w:r>
    </w:p>
    <w:p>
      <w:pPr>
        <w:pStyle w:val="Heading1"/>
        <w:spacing w:after="120" w:before="280"/>
      </w:pPr>
      <w:r>
        <w:t xml:space="preserve">Technical Read (Weekly / Monthly MACD + Bollinger Bands, or RSI/CCI/Williams %R proxy)</w:t>
      </w:r>
    </w:p>
    <w:p>
      <w:pPr>
        <w:spacing w:after="120"/>
      </w:pPr>
      <w:r>
        <w:t xml:space="preserve">Not pulled this pass.</w:t>
      </w:r>
    </w:p>
    <w:p>
      <w:pPr>
        <w:pStyle w:val="Heading1"/>
        <w:spacing w:after="120" w:before="280"/>
      </w:pPr>
      <w:r>
        <w:t xml:space="preserve">ValuePickr Community Signal</w:t>
      </w:r>
    </w:p>
    <w:p>
      <w:pPr>
        <w:spacing w:after="120"/>
      </w:pPr>
      <w:r>
        <w:t xml:space="preserve">Not re-read this pass -- forum re-reading is vpscreen-scan's job, not deepdive-top100's. Reused the prior sentiment read: 45 of 76 posts (2020-Aug 2026), most recent 21 days before the prior scan.</w:t>
      </w:r>
    </w:p>
    <w:p>
      <w:pPr>
        <w:spacing w:after="120"/>
      </w:pPr>
      <w:r>
        <w:rPr>
          <w:b/>
          <w:bCs/>
          <w:sz w:val="20"/>
          <w:szCs w:val="20"/>
        </w:rPr>
        <w:t xml:space="preserve">High-conviction call from a top contributor: </w:t>
      </w:r>
      <w:r>
        <w:rPr>
          <w:sz w:val="20"/>
          <w:szCs w:val="20"/>
        </w:rPr>
        <w:t xml:space="preserve">ranvir (trusted, elevated-tier, Aug 2024) gave detailed Q1 FY25 concall figures, noting the higher-margin processed foods segment (Ashoka brand, ~23% EBITDA margin) growing faster than the lower-margin Unilever distribution business. manomagg3 (Feb and Aug 2026, self-disclosed as invested and based in Sweden) reported firsthand continued strong demand for Ashoka products in the Swedish market ('a competitor for some segment for Haldiram'), and in the most recent post (Aug 2, 2026) confirmed a 'muted' Q1 FY27 driven by Middle East conflict and container shortages, but noted management remains bullish and the company stays low-debt with cash on the balance sheet -- this deep dive confirms the Q1 FY27 numbers were real (revenue still +25.9% YoY despite the disruption) and that FY26 delivered genuine acceleration underneath it.</w:t>
      </w:r>
    </w:p>
    <w:p>
      <w:pPr>
        <w:pStyle w:val="Heading1"/>
        <w:spacing w:after="120" w:before="280"/>
      </w:pPr>
      <w:r>
        <w:t xml:space="preserve">BSE Corporate Actions / Other Red Flags</w:t>
      </w:r>
    </w:p>
    <w:p>
      <w:pPr>
        <w:spacing w:after="120"/>
      </w:pPr>
      <w:r>
        <w:t xml:space="preserve">FY26 audited results carried an unmodified audit opinion. Board fixed the 36th AGM for 12-Aug-2026 and recommended a final dividend of Rs 0.60/share (dividend payout ratio has fallen from 77% (FY24) to 19% (FY25) to 15% (FY26) as the company prioritizes reinvestment into the Surat plant). No litigation, KMP/auditor changes, or pledge movements found in the last 6 months. Promoter holding stable at 36.13% with 0% pledged.</w:t>
      </w:r>
    </w:p>
    <w:p>
      <w:pPr>
        <w:pStyle w:val="Heading1"/>
        <w:spacing w:after="120" w:before="280"/>
      </w:pPr>
      <w:r>
        <w:t xml:space="preserve">Bull Case</w:t>
      </w:r>
    </w:p>
    <w:p>
      <w:pPr>
        <w:pStyle w:val="ListParagraph"/>
        <w:numPr>
          <w:ilvl w:val="0"/>
          <w:numId w:val="1"/>
        </w:numPr>
        <w:spacing w:after="60"/>
      </w:pPr>
      <w:r>
        <w:t xml:space="preserve">Profit growth has genuinely accelerated well ahead of revenue: FY26 PAT +29.84% YoY on revenue +15.88%, and TTM profit growth (38%) is running roughly 2x TTM sales growth (19%) -- real, evidenced operating leverage, not a projection</w:t>
      </w:r>
    </w:p>
    <w:p>
      <w:pPr>
        <w:pStyle w:val="ListParagraph"/>
        <w:numPr>
          <w:ilvl w:val="0"/>
          <w:numId w:val="1"/>
        </w:numPr>
        <w:spacing w:after="60"/>
      </w:pPr>
      <w:r>
        <w:t xml:space="preserve">Consistently strong returns sustained for years (ROCE ~22%, ROE 17.7%, averaging 16-18% for a decade) with minimal, not literally-zero, leverage and a net-cash balance sheet</w:t>
      </w:r>
    </w:p>
    <w:p>
      <w:pPr>
        <w:pStyle w:val="ListParagraph"/>
        <w:numPr>
          <w:ilvl w:val="0"/>
          <w:numId w:val="1"/>
        </w:numPr>
        <w:spacing w:after="60"/>
      </w:pPr>
      <w:r>
        <w:t xml:space="preserve">New capacity is real and already commissioned, not just planned: the Surat Greenfield plant (+10,000 MT, total 38,000 MT) is up and running with up to Rs 250 Cr of incremental revenue potential at full capacity (~35% of FY26 revenue) over a 2-3 year ramp</w:t>
      </w:r>
    </w:p>
    <w:p>
      <w:pPr>
        <w:pStyle w:val="ListParagraph"/>
        <w:numPr>
          <w:ilvl w:val="0"/>
          <w:numId w:val="1"/>
        </w:numPr>
        <w:spacing w:after="60"/>
      </w:pPr>
      <w:r>
        <w:t xml:space="preserve">Direct retail shelf placement at Costco, Safeway-Albertsons, and Whole Foods Market across 60+ export countries is a real, hard-to-replicate distribution moat for a company this size, corroborated by firsthand community reporting of continued brand strength in export markets</w:t>
      </w:r>
    </w:p>
    <w:p>
      <w:pPr>
        <w:pStyle w:val="ListParagraph"/>
        <w:numPr>
          <w:ilvl w:val="0"/>
          <w:numId w:val="1"/>
        </w:numPr>
        <w:spacing w:after="60"/>
      </w:pPr>
      <w:r>
        <w:t xml:space="preserve">Valuation (~30x trailing P/E) is essentially unchanged from the initial screen despite this acceleration -- a reverse-P/E read shows the market is pricing in only ~9.5% EPS CAGR against actual FY26/TTM growth running at 30-38%</w:t>
      </w:r>
    </w:p>
    <w:p>
      <w:pPr>
        <w:pStyle w:val="Heading1"/>
        <w:spacing w:after="120" w:before="280"/>
      </w:pPr>
      <w:r>
        <w:t xml:space="preserve">Bear Case / Key Risks</w:t>
      </w:r>
    </w:p>
    <w:p>
      <w:pPr>
        <w:pStyle w:val="ListParagraph"/>
        <w:numPr>
          <w:ilvl w:val="0"/>
          <w:numId w:val="1"/>
        </w:numPr>
        <w:spacing w:after="60"/>
      </w:pPr>
      <w:r>
        <w:t xml:space="preserve">Q1 FY27 was genuinely muted by Middle East conflict and container shortages -- a real, if likely temporary, freight/logistics headwind, and the ambitious FY27 revenue guide (&gt;Rs 900 Cr, ~32% growth) is explicitly conditional on this stabilizing</w:t>
      </w:r>
    </w:p>
    <w:p>
      <w:pPr>
        <w:pStyle w:val="ListParagraph"/>
        <w:numPr>
          <w:ilvl w:val="0"/>
          <w:numId w:val="1"/>
        </w:numPr>
        <w:spacing w:after="60"/>
      </w:pPr>
      <w:r>
        <w:t xml:space="preserve">Free cash flow has been negative the last two years (FY26: -Rs 25 Cr, FY25: -Rs 4 Cr) as the Surat plant was funded -- not a solvency concern given the net-cash balance sheet, but a real near-term cash-generation gap versus the 'debt-free, cash-rich' framing in the initial screen</w:t>
      </w:r>
    </w:p>
    <w:p>
      <w:pPr>
        <w:pStyle w:val="ListParagraph"/>
        <w:numPr>
          <w:ilvl w:val="0"/>
          <w:numId w:val="1"/>
        </w:numPr>
        <w:spacing w:after="60"/>
      </w:pPr>
      <w:r>
        <w:t xml:space="preserve">This remains a linear, distribution/capacity-driven growth story (retail listings, plant utilization ramp) rather than one with the kind of asymmetric optionality (a new drug, a virgin TAM) that would justify a true 10x-in-2-3-years label, even at an attractive box score</w:t>
      </w:r>
    </w:p>
    <w:p>
      <w:pPr>
        <w:pStyle w:val="ListParagraph"/>
        <w:numPr>
          <w:ilvl w:val="0"/>
          <w:numId w:val="1"/>
        </w:numPr>
        <w:spacing w:after="60"/>
      </w:pPr>
      <w:r>
        <w:t xml:space="preserve">The Surat plant needs 2-3 years to reach full utilization (only ~30% expected in FY27) -- most of its Rs 250 Cr incremental-revenue potential is not yet in the numbers and depends on continued demand absorption</w:t>
      </w:r>
    </w:p>
    <w:p>
      <w:pPr>
        <w:pStyle w:val="ListParagraph"/>
        <w:numPr>
          <w:ilvl w:val="0"/>
          <w:numId w:val="1"/>
        </w:numPr>
        <w:spacing w:after="60"/>
      </w:pPr>
      <w:r>
        <w:t xml:space="preserve">Thin, sporadic community coverage limits independent scrutiny beyond the handful of trusted/invested posters</w:t>
      </w:r>
    </w:p>
    <w:p>
      <w:pPr>
        <w:pStyle w:val="Heading1"/>
        <w:spacing w:after="120" w:before="280"/>
      </w:pPr>
      <w:r>
        <w:t xml:space="preserve">Market-Cap Tier (informational — not a gate in this project)</w:t>
      </w:r>
    </w:p>
    <w:p>
      <w:pPr>
        <w:spacing w:after="120"/>
      </w:pPr>
      <w:r>
        <w:rPr>
          <w:b/>
          <w:bCs/>
        </w:rPr>
        <w:t xml:space="preserve">Small-cap (~Rs 2,925 Cr)</w:t>
      </w:r>
    </w:p>
    <w:p>
      <w:pPr>
        <w:pStyle w:val="Heading1"/>
        <w:spacing w:after="120" w:before="280"/>
      </w:pPr>
      <w:r>
        <w:t xml:space="preserve">Thesis Fit</w:t>
      </w:r>
    </w:p>
    <w:p>
      <w:pPr>
        <w:spacing w:after="120"/>
      </w:pPr>
      <w:r>
        <w:rPr>
          <w:b/>
          <w:bCs/>
          <w:sz w:val="24"/>
          <w:szCs w:val="24"/>
        </w:rPr>
        <w:t xml:space="preserve">neither</w:t>
      </w:r>
    </w:p>
    <w:p>
      <w:pPr>
        <w:spacing w:after="120"/>
      </w:pPr>
      <w:r>
        <w:rPr>
          <w:color w:val="666666"/>
          <w:sz w:val="20"/>
          <w:szCs w:val="20"/>
        </w:rPr>
        <w:t xml:space="preserve">4-box gate — tailwind: yes · TAM: yes · moat: yes · valuation: yes  (score 4 / 4)</w:t>
      </w:r>
    </w:p>
    <w:p>
      <w:pPr>
        <w:spacing w:after="120"/>
      </w:pPr>
      <w:r>
        <w:rPr>
          <w:i/>
          <w:iCs/>
          <w:color w:val="666666"/>
          <w:sz w:val="20"/>
          <w:szCs w:val="20"/>
        </w:rPr>
        <w:t xml:space="preserve">Clean pass on all four boxes: tailwind (TTM sales growth 19% vs 13% 5-yr average), tam (Surat plant alone adds up to Rs 250 Cr revenue potential against a Rs 683 Cr FY26 base), moat (direct Costco/Whole Foods/Safeway-Albertsons listings, sustained 20%+ ROCE), valuation (P/E unchanged at ~30x despite FY26 PAT growth of 29.84% and TTM profit growth of 38%). Despite the 4.0 score, thesis_fit is kept at 'neither' by analyst override: growth here is linear and capacity/distribution-driven, not the asymmetric-optionality kind the 10x-in-2-3-years label is meant to capture.</w:t>
      </w:r>
    </w:p>
    <w:p>
      <w:pPr>
        <w:pStyle w:val="Heading1"/>
        <w:spacing w:after="120" w:before="280"/>
      </w:pPr>
      <w:r>
        <w:t xml:space="preserve">Verdict</w:t>
      </w:r>
    </w:p>
    <w:p>
      <w:pPr>
        <w:spacing w:after="120"/>
      </w:pPr>
      <w:r>
        <w:rPr>
          <w:b/>
          <w:bCs/>
          <w:sz w:val="24"/>
          <w:szCs w:val="24"/>
        </w:rPr>
        <w:t xml:space="preserve">Real, evidenced acceleration (PAT growth outrunning revenue growth) at an unchanged valuation -- a genuinely improving quality compounder, but not an asymmetric-upside 10x setup</w:t>
      </w:r>
    </w:p>
    <w:p>
      <w:pPr>
        <w:pStyle w:val="ListParagraph"/>
        <w:numPr>
          <w:ilvl w:val="0"/>
          <w:numId w:val="1"/>
        </w:numPr>
        <w:spacing w:after="60"/>
      </w:pPr>
      <w:r>
        <w:t xml:space="preserve">Four-box read: tailwind=yes (structural diaspora + mainstream-crossover export demand, evidenced by TTM sales growth of 19% vs a 13% 5-yr average), tam=yes (Surat plant alone adds up to Rs 250 Cr of revenue potential against a Rs 683 Cr FY26 base, plus ongoing US/UK retail-shelf expansion), moat=yes (direct listings at Costco/Whole Foods/Safeway-Albertsons, sustained 20%+ ROCE for years), valuation=yes (P/E unchanged at ~30x despite FY26 PAT growth of 29.84% and TTM profit growth of 38%) -&gt; score 4.0, a clean pass on every box.</w:t>
      </w:r>
    </w:p>
    <w:p>
      <w:pPr>
        <w:pStyle w:val="ListParagraph"/>
        <w:numPr>
          <w:ilvl w:val="0"/>
          <w:numId w:val="1"/>
        </w:numPr>
        <w:spacing w:after="60"/>
      </w:pPr>
      <w:r>
        <w:t xml:space="preserve">Despite the clean 4.0 score, thesis_fit is kept at 'neither' by the same analyst-override logic applied elsewhere this pass (Vinati Organics, and previously Nesco): a box score clearing 3.0 permits the 10x/100x label but doesn't mandate it when the growth math is linear rather than asymmetric. ADF Foods' growth comes from proven, bounded levers (retail-shelf expansion, a specific new plant's utilization ramp) rather than the kind of optionality (e.g. Wockhardt's novel-drug approval opening a multi-billion-dollar addressable market from a small base) that the 10x-in-2-3-years label is meant to capture.</w:t>
      </w:r>
    </w:p>
    <w:p>
      <w:pPr>
        <w:pStyle w:val="ListParagraph"/>
        <w:numPr>
          <w:ilvl w:val="0"/>
          <w:numId w:val="1"/>
        </w:numPr>
        <w:spacing w:after="60"/>
      </w:pPr>
      <w:r>
        <w:t xml:space="preserve">That said, this pass materially de-risks the name versus the initial screen: the 'muted quarter' bear case is now understood alongside a genuinely accelerating profit trend underneath it, and the market has not yet re-rated the stock for that acceleration.</w:t>
      </w:r>
    </w:p>
    <w:p>
      <w:pPr>
        <w:pStyle w:val="ListParagraph"/>
        <w:numPr>
          <w:ilvl w:val="0"/>
          <w:numId w:val="1"/>
        </w:numPr>
        <w:spacing w:after="60"/>
      </w:pPr>
      <w:r>
        <w:t xml:space="preserve">Conviction raised from Medium to Medium-High: real, multi-quarter evidenced acceleration (not projection), a working new plant, unchanged and still-reasonable valuation, and no red flags support the upgrade even though thesis_fit stays 'neither'.</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2026-09-09T18:13:16.410Z</dcterms:created>
  <dcterms:modified xsi:type="dcterms:W3CDTF">2026-09-09T18:13:16.411Z</dcterms:modified>
</cp:coreProperties>
</file>

<file path=docProps/custom.xml><?xml version="1.0" encoding="utf-8"?>
<Properties xmlns="http://schemas.openxmlformats.org/officeDocument/2006/custom-properties" xmlns:vt="http://schemas.openxmlformats.org/officeDocument/2006/docPropsVTypes"/>
</file>