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Aarti Surfactants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Demerged specialty-surfactants maker with a real recent-quarter profit inflection off a weak base - a low-conviction, unconfirmed 10x-optionality watch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Aarti Surfactants was formed by the demerger of the Home &amp; Personal Care division of Aarti Industries. It makes ionic and non-ionic surfactants and specialty/formulated blends for shampoos, soaps, handwash, detergents and cleaners, plus industrial, agro and oil-industry applications, from plants at Pithampur (MP) and Silvassa.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468 Cr (small-cap)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 / ROE</w:t>
            </w:r>
          </w:p>
        </w:tc>
        <w:tc>
          <w:tcPr>
            <w:tcW w:type="dxa" w:w="5800"/>
          </w:tcPr>
          <w:p>
            <w:r>
              <w:t xml:space="preserve">~8.5% / ~5.2% (still weak)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Stock P/E</w:t>
            </w:r>
          </w:p>
        </w:tc>
        <w:tc>
          <w:tcPr>
            <w:tcW w:type="dxa" w:w="5800"/>
          </w:tcPr>
          <w:p>
            <w:r>
              <w:t xml:space="preserve">~25x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Recent quarter</w:t>
            </w:r>
          </w:p>
        </w:tc>
        <w:tc>
          <w:tcPr>
            <w:tcW w:type="dxa" w:w="5800"/>
          </w:tcPr>
          <w:p>
            <w:r>
              <w:t xml:space="preserve">Q2 FY26: sales +6.5% YoY, net profit +114.8% YoY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Working capital</w:t>
            </w:r>
          </w:p>
        </w:tc>
        <w:tc>
          <w:tcPr>
            <w:tcW w:type="dxa" w:w="5800"/>
          </w:tcPr>
          <w:p>
            <w:r>
              <w:t xml:space="preserve">improved from ~32 to ~21.5 days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52-week range</w:t>
            </w:r>
          </w:p>
        </w:tc>
        <w:tc>
          <w:tcPr>
            <w:tcW w:type="dxa" w:w="5800"/>
          </w:tcPr>
          <w:p>
            <w:r>
              <w:t xml:space="preserve">Rs 316 - 680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Trailing metrics are weak - ROE ~5%, ROCE ~8.5%, a negative multi-year profit trend - but the recent quarter shows a sharp, specific improvement: Q2 FY26 net profit up ~115% YoY on modest ~6.5% sales growth, with working-capital days cut by a third. This is a margin-normalisation / operating-leverage story off a low base, consistent with a demerged commodity-to-specialty transition, not yet a proven compounding trend.</w:t>
      </w:r>
    </w:p>
    <w:p>
      <w:pPr>
        <w:pStyle w:val="Heading1"/>
        <w:spacing w:after="120" w:before="280"/>
      </w:pPr>
      <w:r>
        <w:t xml:space="preserve">Guidance &amp; Expectation Gap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Management guidance decoded into commitments, graded on the expectation → action → operational → commercial → financial ladder, then compared to what the current price appears to assume. Method: playbook/guidance-and-expectation-gap.md.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Market expectation vs. our path: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 of</w:t>
            </w:r>
          </w:p>
        </w:tc>
        <w:tc>
          <w:tcPr>
            <w:tcW w:type="dxa" w:w="5800"/>
          </w:tcPr>
          <w:p>
            <w:r>
              <w:t xml:space="preserve">2026-09-09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/ multiple</w:t>
            </w:r>
          </w:p>
        </w:tc>
        <w:tc>
          <w:tcPr>
            <w:tcW w:type="dxa" w:w="5800"/>
          </w:tcPr>
          <w:p>
            <w:r>
              <w:t xml:space="preserve">Rs 513 · 23.8x 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Right valuation lens</w:t>
            </w:r>
          </w:p>
        </w:tc>
        <w:tc>
          <w:tcPr>
            <w:tcW w:type="dxa" w:w="5800"/>
          </w:tcPr>
          <w:p>
            <w:r>
              <w:t xml:space="preserve">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implies</w:t>
            </w:r>
          </w:p>
        </w:tc>
        <w:tc>
          <w:tcPr>
            <w:tcW w:type="dxa" w:w="5800"/>
          </w:tcPr>
          <w:p>
            <w:r>
              <w:t xml:space="preserve">~24x on thin (~5% OPM) earnings implies the market expects a sharp margin recovery; needs OPM back to ~10%+ and ~20% EPS CAGR to justify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FY27</w:t>
            </w:r>
          </w:p>
        </w:tc>
        <w:tc>
          <w:tcPr>
            <w:tcW w:type="dxa" w:w="5800"/>
          </w:tcPr>
          <w:p>
            <w:r>
              <w:t xml:space="preserve">revenue +15-20% on volume, OPM recovery to 7-9%, PAT up sharply off a low base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FY28</w:t>
            </w:r>
          </w:p>
        </w:tc>
        <w:tc>
          <w:tcPr>
            <w:tcW w:type="dxa" w:w="5800"/>
          </w:tcPr>
          <w:p>
            <w:r>
              <w:t xml:space="preserve">further normalisation if surfactant spreads recover; execution- and spread-dependent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direction</w:t>
            </w:r>
          </w:p>
        </w:tc>
        <w:tc>
          <w:tcPr>
            <w:tcW w:type="dxa" w:w="5800"/>
          </w:tcPr>
          <w:p>
            <w:r>
              <w:t xml:space="preserve">over-optimistic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type</w:t>
            </w:r>
          </w:p>
        </w:tc>
        <w:tc>
          <w:tcPr>
            <w:tcW w:type="dxa" w:w="5800"/>
          </w:tcPr>
          <w:p>
            <w:r>
              <w:t xml:space="preserve">margin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magnitude</w:t>
            </w:r>
          </w:p>
        </w:tc>
        <w:tc>
          <w:tcPr>
            <w:tcW w:type="dxa" w:w="5800"/>
          </w:tcPr>
          <w:p>
            <w:r>
              <w:t xml:space="preserve">-25% (our FY28 PAT vs implied)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basis</w:t>
            </w:r>
          </w:p>
        </w:tc>
        <w:tc>
          <w:tcPr>
            <w:tcW w:type="dxa" w:w="5800"/>
          </w:tcPr>
          <w:p>
            <w:r>
              <w:t xml:space="preserve">24x trailing P/E on a sub-6% OPM commodity-surfactants business with 1.4x interest cover and ROCE &lt;10%; the multiple already prices a margin recovery the filings don't show.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Evidence quality</w:t>
            </w:r>
          </w:p>
        </w:tc>
        <w:tc>
          <w:tcPr>
            <w:tcW w:type="dxa" w:w="5800"/>
          </w:tcPr>
          <w:p>
            <w:r>
              <w:t xml:space="preserve">weak</w:t>
            </w:r>
          </w:p>
        </w:tc>
      </w:tr>
    </w:tbl>
    <w:p>
      <w:pPr>
        <w:spacing w:after="120"/>
      </w:pPr>
      <w:r>
        <w:rPr>
          <w:i/>
          <w:iCs/>
          <w:color w:val="666666"/>
          <w:sz w:val="16"/>
          <w:szCs w:val="16"/>
        </w:rPr>
        <w:t xml:space="preserve">no broker consensus; implied path is a reverse-P/E estimate + screener.in forward figures + VP thread view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 · quality metrics · track record · global-signal check)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Quality metrics (ROCE · debt · FCF · margin · capex):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concern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9% (unclear)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Leverage</w:t>
            </w:r>
          </w:p>
        </w:tc>
        <w:tc>
          <w:tcPr>
            <w:tcW w:type="dxa" w:w="5800"/>
          </w:tcPr>
          <w:p>
            <w:r>
              <w:t xml:space="preserve">Net debt/EBITDA 2.4x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FCF conversion</w:t>
            </w:r>
          </w:p>
        </w:tc>
        <w:tc>
          <w:tcPr>
            <w:tcW w:type="dxa" w:w="5800"/>
          </w:tcPr>
          <w:p>
            <w:r>
              <w:t xml:space="preserve">40%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Margin trend</w:t>
            </w:r>
          </w:p>
        </w:tc>
        <w:tc>
          <w:tcPr>
            <w:tcW w:type="dxa" w:w="5800"/>
          </w:tcPr>
          <w:p>
            <w:r>
              <w:t xml:space="preserve">contracting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Capex efficiency</w:t>
            </w:r>
          </w:p>
        </w:tc>
        <w:tc>
          <w:tcPr>
            <w:tcW w:type="dxa" w:w="5800"/>
          </w:tcPr>
          <w:p>
            <w:r>
              <w:t xml:space="preserve">value-destructive</w:t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Track record (Coffee Can persistence check): </w:t>
      </w:r>
      <w:r>
        <w:rPr>
          <w:sz w:val="20"/>
          <w:szCs w:val="20"/>
        </w:rPr>
        <w:t xml:space="preserve">cleared revenue growth ≥10% AND ROCE ≥15% in 0 of the last 5 years (consistency_score 0)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Screener FY21-FY25: never had both rev growth &gt;=10% AND ROCE &gt;=15% in the same year - ROCE structurally sub-15 (range 7-15%), and the one 15% ROCE year (FY23) had only 4% growth. 0 of 5 cleared.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independently pulled; stock well off its 52-week high of Rs 680.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The dedicated ValuePickr thread (topic 132910) is effectively dead - three substantive intro posts from Jan 2024 and then a moderator note about forum guidelines; no ongoing discussion, no thesis debate, no conviction calls. This assessment therefore rests on the fundamentals and the recent-quarter inflection.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No trusted-roster users; no high-conviction call anywhere in the thread. The legacy 108-stock screen's claim of 'hundreds of likes' of community conviction remains unverified.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Not independently checked; nothing adverse surfaced.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Q2 FY26 PAT up ~115% YoY - a real, specific recent-quarter inflection off a depressed base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Working capital cut from ~32 to ~21.5 days - genuine operating discipline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Small (~Rs 468 Cr) demerged specialty-chemicals platform with room to re-rate if margin normalisation sustains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Aarti-group lineage and an established Home &amp; Personal Care customer base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ROE still only ~5% and ROCE ~8.5% - the business has not cleared the cost-of-capital hurdle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Recent profit growth is margin/cost-driven off a low base, not demand-led - durability unproven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~25x earnings on a still-recovering earnings base is not cheap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community coverage or independent thesis stress-testing; commodity input-cost swings can reverse the margin gain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Small-cap (~Rs 468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10x-in-2-3-years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weak · TAM: weak · moat: weak · valuation: weak  (score 2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Legacy Tier B 'early-stage turnaround' framing; recent-quarter inflection noted but ROE still weak, VP thread dead - no detailed driver/moat/valuation.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Early, unconfirmed turnaround - a low-conviction 10x-optionality watch, not a conviction buy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Legacy-108-screen seed (old bucket Tier B, 'early-stage turnaround, needs 2-3 more clean quarters', frozen 2026-08-15) - under the open-screen thesis the recent-quarter inflection plus small-cap size warrant a '10x-in-2-3-years' tag at LOW conviction with an explicit 'unconfirmed' caveat, per the rule on not letting a weak trailing average hide a real recent inflection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old Tier B 'wait for more clean quarters' framing broadly still holds; one more strong quarter has printed but ROE is still weak and the VP thread is dead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red-flag tier; conviction stays LOW until margin normalisation is visible for another 2-3 quarters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2026-09-09T18:15:33.025Z</dcterms:created>
  <dcterms:modified xsi:type="dcterms:W3CDTF">2026-09-09T18:15:33.026Z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