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Aban Offshore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Once India's largest private offshore-drilling contractor, now a distressed shell: under the insolvency process (CIRP) since September 2025, negative net worth, ~Rs 1,270 Cr contingent liabilities, and a five-year revenue decline of ~-17.5%.</w:t>
      </w:r>
    </w:p>
    <w:p>
      <w:pPr>
        <w:shd w:fill="FFF0F0" w:val="clear"/>
        <w:spacing w:after="200"/>
      </w:pPr>
      <w:r>
        <w:rPr>
          <w:b/>
          <w:bCs/>
          <w:color w:val="A32020"/>
          <w:sz w:val="22"/>
          <w:szCs w:val="22"/>
        </w:rPr>
        <w:t xml:space="preserve">RED FLAG TIER: AVOID — </w:t>
      </w:r>
      <w:r>
        <w:rPr>
          <w:sz w:val="20"/>
          <w:szCs w:val="20"/>
        </w:rPr>
        <w:t xml:space="preserve">Under Corporate Insolvency Resolution Process (CIRP) since September 2025 (stayed January 2026); negative net worth / going-concern; ~Rs 1,270 Cr contingent liabilities. Equity ranks behind creditors in any resolution.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Offshore drilling rig owner/operator - jack-ups and drillships contracted on day-rates to E&amp;P operators. A classic rig-utilisation / day-rate cycle play in principle, but the company was overwhelmed by debt taken on during the 2007-08 rig-acquisition boom and has been in restructuring for over a decade. Seeded via theme-scan 2026-09-09 (user-authorised 1x no-self-discovery bypass), oilfield-services / offshore-drilling theme, with an explicit balance-sheet caution in the seed note.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85 - 107 Cr (trades as a distressed equity stub)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14.6 - Rs 61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worth</w:t>
            </w:r>
          </w:p>
        </w:tc>
        <w:tc>
          <w:tcPr>
            <w:tcW w:type="dxa" w:w="5800"/>
          </w:tcPr>
          <w:p>
            <w:r>
              <w:t xml:space="preserve">Negative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~-17.5% over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liabilities</w:t>
            </w:r>
          </w:p>
        </w:tc>
        <w:tc>
          <w:tcPr>
            <w:tcW w:type="dxa" w:w="5800"/>
          </w:tcPr>
          <w:p>
            <w:r>
              <w:t xml:space="preserve">Contingent liabilities ~Rs 1,270 Cr; low interest coverage; under CIRP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5800"/>
          </w:tcPr>
          <w:p>
            <w:r>
              <w:t xml:space="preserve">Corporate Insolvency Resolution Process since Sept 2025; proceedings stayed Jan 2026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day-rate cycle is turning up globally, which is why the seed came in - but Aban cannot participate. It is in the insolvency process, its net worth is negative, and the equity is a residual claim behind a large creditor stack. Any recovery value accrues to lenders and a resolution applicant first. This is a red-flag exclusion, not an investment case.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relevant - distressed stub, wide low-price band. No TA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Step-4 forum read performed - red flag (AVOID). No dedicated live ValuePickr thread resolved; assessment is web/filing-based.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red flag.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AVOID. Under CIRP since September 2025 (proceedings stayed January 2026). Negative net worth / going-concern status. Long restructuring history. Equity holders rank behind creditors in any resolution.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offshore day-rates and rig utilisation are in an up-cycle - the underlying asset class has value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 the insolvency process; negative net worth; equity is a residual claim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1,270 Cr contingent liabilities; low interest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down ~17.5% over five years; fleet age and off-hire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resolution likely dilutes or extinguishes existing equity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Distressed micro-cap (~Rs 100 Cr equity stub)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Distressed offshore driller under the insolvency process since Sept 2025 with negative net worth - a red-flag AVOID regardless of the day-rate up-cycle.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red_flag_tier AVOID: Corporate Insolvency Resolution Process since September 2025, negative net worth / going-concern - never overridden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Low, Step 4 skipped per the red-flag rule; four_box exercise skipped (red flag)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offshore day-rate up-cycle is real but inaccessible through this equity - recovery value accrues to creditors and a resolution applicant ahead of shareholders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Seeded via oilfield-services theme (external lead, user-authorised bypass); the seed note itself flagged 'check the balance sheet first' - it does not survive that check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2026-09-10T03:29:27.272Z</dcterms:created>
  <dcterms:modified xsi:type="dcterms:W3CDTF">2026-09-10T03:29:27.273Z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