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Alphageo (India) Ltd</w:t>
      </w:r>
    </w:p>
    <w:p>
      <w:pPr>
        <w:pBdr>
          <w:bottom w:val="single" w:color="CCCCCC" w:sz="6" w:space="8"/>
        </w:pBdr>
        <w:spacing w:after="200"/>
      </w:pPr>
      <w:r>
        <w:rPr>
          <w:i/>
          <w:iCs/>
          <w:color w:val="666666"/>
          <w:sz w:val="22"/>
          <w:szCs w:val="22"/>
        </w:rPr>
        <w:t xml:space="preserve">India's onshore seismic-survey leader and the purest listed oilfield-services micro-cap - but loss-making, order-book-lumpy, run with 'the worst investor relations', and carrying a governance history that includes an ED FEMA seizure, IT raids and an AgustaWestland-scam nexus.</w:t>
      </w:r>
    </w:p>
    <w:p>
      <w:pPr>
        <w:shd w:fill="FFF0F0" w:val="clear"/>
        <w:spacing w:after="200"/>
      </w:pPr>
      <w:r>
        <w:rPr>
          <w:b/>
          <w:bCs/>
          <w:color w:val="B8860B"/>
          <w:sz w:val="22"/>
          <w:szCs w:val="22"/>
        </w:rPr>
        <w:t xml:space="preserve">RED FLAG TIER: HIGH CAUTION — </w:t>
      </w:r>
      <w:r>
        <w:rPr>
          <w:sz w:val="20"/>
          <w:szCs w:val="20"/>
        </w:rPr>
        <w:t xml:space="preserve">ED seizure of Rs 16 Cr under FEMA (Nov 2022) for funds parked in the UAE in contravention of the Act; IT raids (2019); forum-cited AgustaWestland VVIP-chopper-scam linkage; BSE clarification notice (2019); no confirmed resolution; first-hand accounts of evasive investor relations.</w:t>
      </w:r>
    </w:p>
    <w:p>
      <w:pPr>
        <w:pStyle w:val="Heading1"/>
        <w:spacing w:after="120" w:before="280"/>
      </w:pPr>
      <w:r>
        <w:t xml:space="preserve">Business Overview</w:t>
      </w:r>
    </w:p>
    <w:p>
      <w:pPr>
        <w:spacing w:after="120"/>
      </w:pPr>
      <w:r>
        <w:t xml:space="preserve">Geophysical services: 2D/3D seismic data acquisition, processing and interpretation for hydrocarbon (and, more recently, mineral) exploration, almost entirely onshore India, for ONGC, Oil India and OALP block winners. Revenue is a handful of large, lumpy contracts; in good years EBITDA margins ~35%. Peak was FY18 (~Rs 431 Cr revenue, ~Rs 55 Cr PAT); it has declined and swung to losses since. Seeded via theme-scan 2026-09-09 (user-authorised 1x no-self-discovery bypass), oilfield-services theme.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190 Cr (micro-cap)</w:t>
            </w:r>
          </w:p>
        </w:tc>
      </w:tr>
      <w:tr>
        <w:tc>
          <w:tcPr>
            <w:tcW w:type="dxa" w:w="3200"/>
            <w:shd w:fill="F2F2F2" w:val="clear"/>
          </w:tcPr>
          <w:p>
            <w:r>
              <w:rPr>
                <w:b/>
                <w:bCs/>
              </w:rPr>
              <w:t xml:space="preserve">52-week range</w:t>
            </w:r>
          </w:p>
        </w:tc>
        <w:tc>
          <w:tcPr>
            <w:tcW w:type="dxa" w:w="5800"/>
          </w:tcPr>
          <w:p>
            <w:r>
              <w:t xml:space="preserve">~Rs 196 - Rs 298 (CMP near the low)</w:t>
            </w:r>
          </w:p>
        </w:tc>
      </w:tr>
      <w:tr>
        <w:tc>
          <w:tcPr>
            <w:tcW w:type="dxa" w:w="3200"/>
            <w:shd w:fill="F2F2F2" w:val="clear"/>
          </w:tcPr>
          <w:p>
            <w:r>
              <w:rPr>
                <w:b/>
                <w:bCs/>
              </w:rPr>
              <w:t xml:space="preserve">ROCE / ROE</w:t>
            </w:r>
          </w:p>
        </w:tc>
        <w:tc>
          <w:tcPr>
            <w:tcW w:type="dxa" w:w="5800"/>
          </w:tcPr>
          <w:p>
            <w:r>
              <w:t xml:space="preserve">Negative - ROE ~-2.85% over 3 years; loss-making</w:t>
            </w:r>
          </w:p>
        </w:tc>
      </w:tr>
      <w:tr>
        <w:tc>
          <w:tcPr>
            <w:tcW w:type="dxa" w:w="3200"/>
            <w:shd w:fill="F2F2F2" w:val="clear"/>
          </w:tcPr>
          <w:p>
            <w:r>
              <w:rPr>
                <w:b/>
                <w:bCs/>
              </w:rPr>
              <w:t xml:space="preserve">Revenue growth</w:t>
            </w:r>
          </w:p>
        </w:tc>
        <w:tc>
          <w:tcPr>
            <w:tcW w:type="dxa" w:w="5800"/>
          </w:tcPr>
          <w:p>
            <w:r>
              <w:t xml:space="preserve">Declining/volatile since the FY18 peak; order-book dependent</w:t>
            </w:r>
          </w:p>
        </w:tc>
      </w:tr>
      <w:tr>
        <w:tc>
          <w:tcPr>
            <w:tcW w:type="dxa" w:w="3200"/>
            <w:shd w:fill="F2F2F2" w:val="clear"/>
          </w:tcPr>
          <w:p>
            <w:r>
              <w:rPr>
                <w:b/>
                <w:bCs/>
              </w:rPr>
              <w:t xml:space="preserve">Debt</w:t>
            </w:r>
          </w:p>
        </w:tc>
        <w:tc>
          <w:tcPr>
            <w:tcW w:type="dxa" w:w="5800"/>
          </w:tcPr>
          <w:p>
            <w:r>
              <w:t xml:space="preserve">Almost debt-free; cash historically close to market cap</w:t>
            </w:r>
          </w:p>
        </w:tc>
      </w:tr>
      <w:tr>
        <w:tc>
          <w:tcPr>
            <w:tcW w:type="dxa" w:w="3200"/>
            <w:shd w:fill="F2F2F2" w:val="clear"/>
          </w:tcPr>
          <w:p>
            <w:r>
              <w:rPr>
                <w:b/>
                <w:bCs/>
              </w:rPr>
              <w:t xml:space="preserve">Working capital</w:t>
            </w:r>
          </w:p>
        </w:tc>
        <w:tc>
          <w:tcPr>
            <w:tcW w:type="dxa" w:w="5800"/>
          </w:tcPr>
          <w:p>
            <w:r>
              <w:t xml:space="preserve">Trade receivables historically near the market cap; debtor days ~131 (improved from 182)</w:t>
            </w:r>
          </w:p>
        </w:tc>
      </w:tr>
    </w:tbl>
    <w:p>
      <w:pPr>
        <w:spacing w:after="100"/>
      </w:pPr>
    </w:p>
    <w:p>
      <w:pPr>
        <w:spacing w:after="120"/>
      </w:pPr>
      <w:r>
        <w:t xml:space="preserve">The bull sketch is simple - onshore India is chronically under-explored, OALP rounds and higher crude should revive seismic demand, the company is the domestic leader with cash near its market cap, and 'one big contract rebounds the stock in ten days' (#287). The reasons it stays out: (1) it is currently loss-making with negative ROE; (2) orders are genuinely unpredictable - years of 'orders are coming' that don't; (3) governance. Post #323 (Nov 2022): the ED seized Rs 16 Cr under FEMA over funds parked in the UAE in contravention of the Act. Post #277-278, #288, #308: an AgustaWestland VVIP-chopper-scam linkage, a BSE clarification notice, and IT raids in 2019 that drove trackers to exit 'not because it fell, but because of the management'. Investor relations are described first-hand as evasive (#294).</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oilfield services / drilling &amp; exploration capex (priority 2)</w:t>
            </w:r>
          </w:p>
        </w:tc>
      </w:tr>
      <w:tr>
        <w:tc>
          <w:tcPr>
            <w:tcW w:type="dxa" w:w="3200"/>
            <w:shd w:fill="F2F2F2" w:val="clear"/>
          </w:tcPr>
          <w:p>
            <w:r>
              <w:rPr>
                <w:b/>
                <w:bCs/>
              </w:rPr>
              <w:t xml:space="preserve">This company's position</w:t>
            </w:r>
          </w:p>
        </w:tc>
        <w:tc>
          <w:tcPr>
            <w:tcW w:type="dxa" w:w="5800"/>
          </w:tcPr>
          <w:p>
            <w:r>
              <w:t xml:space="preserve">Upstream oilfield-services contractor at the exploration stage - acquires, processes and interprets seismic data for E&amp;P operators (ONGC, Oil India, OALP winners, Vedanta) so they can decide where to drill. One step ahead of drilling/rig services in the value chain.</w:t>
            </w:r>
          </w:p>
        </w:tc>
      </w:tr>
      <w:tr>
        <w:tc>
          <w:tcPr>
            <w:tcW w:type="dxa" w:w="3200"/>
            <w:shd w:fill="F2F2F2" w:val="clear"/>
          </w:tcPr>
          <w:p>
            <w:r>
              <w:rPr>
                <w:b/>
                <w:bCs/>
              </w:rPr>
              <w:t xml:space="preserve">Bottleneck node (pricing power)</w:t>
            </w:r>
          </w:p>
        </w:tc>
        <w:tc>
          <w:tcPr>
            <w:tcW w:type="dxa" w:w="5800"/>
          </w:tcPr>
          <w:p>
            <w:r>
              <w:t xml:space="preserve">—</w:t>
            </w:r>
          </w:p>
        </w:tc>
      </w:tr>
      <w:tr>
        <w:tc>
          <w:tcPr>
            <w:tcW w:type="dxa" w:w="3200"/>
            <w:shd w:fill="F2F2F2" w:val="clear"/>
          </w:tcPr>
          <w:p>
            <w:r>
              <w:rPr>
                <w:b/>
                <w:bCs/>
              </w:rPr>
              <w:t xml:space="preserve">Supply-side status</w:t>
            </w:r>
          </w:p>
        </w:tc>
        <w:tc>
          <w:tcPr>
            <w:tcW w:type="dxa" w:w="5800"/>
          </w:tcPr>
          <w:p>
            <w:r>
              <w:t xml:space="preserve">—</w:t>
            </w:r>
          </w:p>
        </w:tc>
      </w:tr>
      <w:tr>
        <w:tc>
          <w:tcPr>
            <w:tcW w:type="dxa" w:w="3200"/>
            <w:shd w:fill="F2F2F2" w:val="clear"/>
          </w:tcPr>
          <w:p>
            <w:r>
              <w:rPr>
                <w:b/>
                <w:bCs/>
              </w:rPr>
              <w:t xml:space="preserve">Adjacent-node peers</w:t>
            </w:r>
          </w:p>
        </w:tc>
        <w:tc>
          <w:tcPr>
            <w:tcW w:type="dxa" w:w="5800"/>
          </w:tcPr>
          <w:p>
            <w:r>
              <w:t xml:space="preserve">—</w:t>
            </w:r>
          </w:p>
        </w:tc>
      </w:tr>
    </w:tbl>
    <w:p>
      <w:pPr>
        <w:pStyle w:val="Heading1"/>
        <w:spacing w:after="120" w:before="280"/>
      </w:pPr>
      <w:r>
        <w:t xml:space="preserve">Technical Read (Weekly / Monthly MACD + Bollinger Bands, or RSI/CCI/Williams %R proxy)</w:t>
      </w:r>
    </w:p>
    <w:p>
      <w:pPr>
        <w:spacing w:after="120"/>
      </w:pPr>
      <w:r>
        <w:t xml:space="preserve">Near the 52-week low; historically spikes 20-30% on single order announcements. Not a Tier-A candidate - no weekly/monthly TA pulled.</w:t>
      </w:r>
    </w:p>
    <w:p>
      <w:pPr>
        <w:pStyle w:val="Heading1"/>
        <w:spacing w:after="120" w:before="280"/>
      </w:pPr>
      <w:r>
        <w:t xml:space="preserve">ValuePickr Community Signal</w:t>
      </w:r>
    </w:p>
    <w:p>
      <w:pPr>
        <w:spacing w:after="120"/>
      </w:pPr>
      <w:r>
        <w:t xml:space="preserve">topic 7114, 324 posts (category 11). The batch read (posts 268-324, 2019-2025) is dominated by the 2019 governance blow-up (chopper-scam linkage, IT raids, ~70% drawdown, trackers booking losses on management-integrity grounds) and by the 2020-2022 order-flow debate (ONGC/OIL/Vedanta seismic awards of Rs 76-184 Cr each, OALP round optionality, ~Rs 600 Cr order book at one point). Recurring reservations: receivables quality, IR opacity, and 'availability of the next order' as the perennial unknown.</w:t>
      </w:r>
    </w:p>
    <w:p>
      <w:pPr>
        <w:spacing w:after="120"/>
      </w:pPr>
      <w:r>
        <w:rPr>
          <w:b/>
          <w:bCs/>
          <w:sz w:val="20"/>
          <w:szCs w:val="20"/>
        </w:rPr>
        <w:t xml:space="preserve">High-conviction call from a top contributor: </w:t>
      </w:r>
      <w:r>
        <w:rPr>
          <w:sz w:val="20"/>
          <w:szCs w:val="20"/>
        </w:rPr>
        <w:t xml:space="preserve">vikasbargale (elevated trusted) posted the most recent message (#324, Aug 2025) - a question ('can Alphageo be a beneficiary of this policy?'), not a conviction call. No trusted-user high-conviction call anywhere in the read.</w:t>
      </w:r>
    </w:p>
    <w:p>
      <w:pPr>
        <w:pStyle w:val="Heading1"/>
        <w:spacing w:after="120" w:before="280"/>
      </w:pPr>
      <w:r>
        <w:t xml:space="preserve">BSE Corporate Actions / Other Red Flags</w:t>
      </w:r>
    </w:p>
    <w:p>
      <w:pPr>
        <w:spacing w:after="120"/>
      </w:pPr>
      <w:r>
        <w:t xml:space="preserve">HIGH CAUTION. ED seizure of Rs 16 Cr under FEMA (Nov 2022) over funds transferred/parked in the UAE in contravention of the Act; IT raids (2019); a BSE clarification notice on price movement (Aug 2019); and forum-cited linkage to the AgustaWestland VVIP-chopper scam. No evidence in the read of resolution of the ED matter. Promoter holding ~45%. 'Worst investor relations' - company has at times refused to answer order-book questions beyond published numbers (#294).</w:t>
      </w:r>
    </w:p>
    <w:p>
      <w:pPr>
        <w:pStyle w:val="Heading1"/>
        <w:spacing w:after="120" w:before="280"/>
      </w:pPr>
      <w:r>
        <w:t xml:space="preserve">Bull Case</w:t>
      </w:r>
    </w:p>
    <w:p>
      <w:pPr>
        <w:pStyle w:val="ListParagraph"/>
        <w:numPr>
          <w:ilvl w:val="0"/>
          <w:numId w:val="1"/>
        </w:numPr>
        <w:spacing w:after="60"/>
      </w:pPr>
      <w:r>
        <w:t xml:space="preserve">Domestic leader in onshore seismic acquisition; execution skill in difficult terrains is a niche edge</w:t>
      </w:r>
    </w:p>
    <w:p>
      <w:pPr>
        <w:pStyle w:val="ListParagraph"/>
        <w:numPr>
          <w:ilvl w:val="0"/>
          <w:numId w:val="1"/>
        </w:numPr>
        <w:spacing w:after="60"/>
      </w:pPr>
      <w:r>
        <w:t xml:space="preserve">Cash historically near the market cap; almost debt-free</w:t>
      </w:r>
    </w:p>
    <w:p>
      <w:pPr>
        <w:pStyle w:val="ListParagraph"/>
        <w:numPr>
          <w:ilvl w:val="0"/>
          <w:numId w:val="1"/>
        </w:numPr>
        <w:spacing w:after="60"/>
      </w:pPr>
      <w:r>
        <w:t xml:space="preserve">OALP rounds + higher crude + under-explored Indian sediments = a real (if intermittent) demand pool; ~Rs 1,500 Cr of seismic work was cited as 'up for grabs' in one 6-9 month window</w:t>
      </w:r>
    </w:p>
    <w:p>
      <w:pPr>
        <w:pStyle w:val="ListParagraph"/>
        <w:numPr>
          <w:ilvl w:val="0"/>
          <w:numId w:val="1"/>
        </w:numPr>
        <w:spacing w:after="60"/>
      </w:pPr>
      <w:r>
        <w:t xml:space="preserve">Diversification into mineral-exploration seismic mapping adds a second demand leg</w:t>
      </w:r>
    </w:p>
    <w:p>
      <w:pPr>
        <w:pStyle w:val="ListParagraph"/>
        <w:numPr>
          <w:ilvl w:val="0"/>
          <w:numId w:val="1"/>
        </w:numPr>
        <w:spacing w:after="60"/>
      </w:pPr>
      <w:r>
        <w:t xml:space="preserve">Operating leverage is extreme - one large contract flips the P&amp;L</w:t>
      </w:r>
    </w:p>
    <w:p>
      <w:pPr>
        <w:pStyle w:val="Heading1"/>
        <w:spacing w:after="120" w:before="280"/>
      </w:pPr>
      <w:r>
        <w:t xml:space="preserve">Bear Case / Key Risks</w:t>
      </w:r>
    </w:p>
    <w:p>
      <w:pPr>
        <w:pStyle w:val="ListParagraph"/>
        <w:numPr>
          <w:ilvl w:val="0"/>
          <w:numId w:val="1"/>
        </w:numPr>
        <w:spacing w:after="60"/>
      </w:pPr>
      <w:r>
        <w:t xml:space="preserve">Currently loss-making; negative ROE; earnings wholly dependent on lumpy, unpredictable orders</w:t>
      </w:r>
    </w:p>
    <w:p>
      <w:pPr>
        <w:pStyle w:val="ListParagraph"/>
        <w:numPr>
          <w:ilvl w:val="0"/>
          <w:numId w:val="1"/>
        </w:numPr>
        <w:spacing w:after="60"/>
      </w:pPr>
      <w:r>
        <w:t xml:space="preserve">Governance: ED FEMA seizure, IT raids, chopper-scam nexus, no confirmed resolution</w:t>
      </w:r>
    </w:p>
    <w:p>
      <w:pPr>
        <w:pStyle w:val="ListParagraph"/>
        <w:numPr>
          <w:ilvl w:val="0"/>
          <w:numId w:val="1"/>
        </w:numPr>
        <w:spacing w:after="60"/>
      </w:pPr>
      <w:r>
        <w:t xml:space="preserve">Receivables historically near the market cap; collection risk</w:t>
      </w:r>
    </w:p>
    <w:p>
      <w:pPr>
        <w:pStyle w:val="ListParagraph"/>
        <w:numPr>
          <w:ilvl w:val="0"/>
          <w:numId w:val="1"/>
        </w:numPr>
        <w:spacing w:after="60"/>
      </w:pPr>
      <w:r>
        <w:t xml:space="preserve">Among the worst investor relations on the exchange - evasive on the order book</w:t>
      </w:r>
    </w:p>
    <w:p>
      <w:pPr>
        <w:pStyle w:val="ListParagraph"/>
        <w:numPr>
          <w:ilvl w:val="0"/>
          <w:numId w:val="1"/>
        </w:numPr>
        <w:spacing w:after="60"/>
      </w:pPr>
      <w:r>
        <w:t xml:space="preserve">Competes with Asian Energy Services and MNC seismic contractors; price-taker on tenders</w:t>
      </w:r>
    </w:p>
    <w:p>
      <w:pPr>
        <w:pStyle w:val="Heading1"/>
        <w:spacing w:after="120" w:before="280"/>
      </w:pPr>
      <w:r>
        <w:t xml:space="preserve">Market-Cap Tier (informational — not a gate in this project)</w:t>
      </w:r>
    </w:p>
    <w:p>
      <w:pPr>
        <w:spacing w:after="120"/>
      </w:pPr>
      <w:r>
        <w:rPr>
          <w:b/>
          <w:bCs/>
        </w:rPr>
        <w:t xml:space="preserve">Micro-cap (~Rs 190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weak · valuation: no  (score 1.5 / 4)</w:t>
      </w:r>
    </w:p>
    <w:p>
      <w:pPr>
        <w:spacing w:after="120"/>
      </w:pPr>
      <w:r>
        <w:rPr>
          <w:i/>
          <w:iCs/>
          <w:color w:val="666666"/>
          <w:sz w:val="20"/>
          <w:szCs w:val="20"/>
        </w:rPr>
        <w:t xml:space="preserve">valuation no - loss-making with a governance overhang, nothing to value; tailwind/tam/moat only weak - real niche leadership and a genuine (if intermittent) OALP-driven demand pool, but the addressable market and historical peak revenue (~Rs 431 Cr) cap the outcome and orders are chronically unpredictable.</w:t>
      </w:r>
    </w:p>
    <w:p>
      <w:pPr>
        <w:pStyle w:val="Heading1"/>
        <w:spacing w:after="120" w:before="280"/>
      </w:pPr>
      <w:r>
        <w:t xml:space="preserve">Verdict</w:t>
      </w:r>
    </w:p>
    <w:p>
      <w:pPr>
        <w:spacing w:after="120"/>
      </w:pPr>
      <w:r>
        <w:rPr>
          <w:b/>
          <w:bCs/>
          <w:sz w:val="24"/>
          <w:szCs w:val="24"/>
        </w:rPr>
        <w:t xml:space="preserve">The purest listed onshore-seismic play, but loss-making, order-lumpy, opaque, and carrying an ED FEMA seizure plus an IT-raid / chopper-scam governance history with no confirmed resolution. HIGH CAUTION. thesis_fit 'neither', conviction Low.</w:t>
      </w:r>
    </w:p>
    <w:p>
      <w:pPr>
        <w:pStyle w:val="ListParagraph"/>
        <w:numPr>
          <w:ilvl w:val="0"/>
          <w:numId w:val="1"/>
        </w:numPr>
        <w:spacing w:after="60"/>
      </w:pPr>
      <w:r>
        <w:t xml:space="preserve">four_box: tailwind weak (OALP rounds + crude + under-exploration are a real demand pool but intermittent and repeatedly deferred), tam weak (the entire addressable market is a handful of seismic contracts a year; FY18 peak revenue was ~Rs 431 Cr - a 10x/100x path is not there), moat weak (niche terrain-execution edge and domestic leadership, but a tender price-taker against Asian Energy Services and MNCs), valuation no (loss-making, negative ROE, governance overhang - nothing to value) -&gt; score 1.5</w:t>
      </w:r>
    </w:p>
    <w:p>
      <w:pPr>
        <w:pStyle w:val="ListParagraph"/>
        <w:numPr>
          <w:ilvl w:val="0"/>
          <w:numId w:val="1"/>
        </w:numPr>
        <w:spacing w:after="60"/>
      </w:pPr>
      <w:r>
        <w:t xml:space="preserve">Score &lt;= 1.5 -&gt; thesis_fit 'neither', hard</w:t>
      </w:r>
    </w:p>
    <w:p>
      <w:pPr>
        <w:pStyle w:val="ListParagraph"/>
        <w:numPr>
          <w:ilvl w:val="0"/>
          <w:numId w:val="1"/>
        </w:numPr>
        <w:spacing w:after="60"/>
      </w:pPr>
      <w:r>
        <w:t xml:space="preserve">red_flag_tier HIGH CAUTION set on the deep read (ED FEMA seizure Nov 2022, IT raids 2019, AgustaWestland-scam linkage, evasive IR) - conviction capped at Low-Medium and set to Low given the company is also loss-making</w:t>
      </w:r>
    </w:p>
    <w:p>
      <w:pPr>
        <w:pStyle w:val="ListParagraph"/>
        <w:numPr>
          <w:ilvl w:val="0"/>
          <w:numId w:val="1"/>
        </w:numPr>
        <w:spacing w:after="60"/>
      </w:pPr>
      <w:r>
        <w:t xml:space="preserve">The small/mid-cap live-inflection carve-out does not apply - there is no strong recent quarter, only cyclical hope</w:t>
      </w:r>
    </w:p>
    <w:p>
      <w:pPr>
        <w:pStyle w:val="ListParagraph"/>
        <w:numPr>
          <w:ilvl w:val="0"/>
          <w:numId w:val="1"/>
        </w:numPr>
        <w:spacing w:after="60"/>
      </w:pPr>
      <w:r>
        <w:t xml:space="preserve">Seeded via oilfield-services theme (external lead, user-authorised bypass); value_chain block added</w:t>
      </w:r>
    </w:p>
    <w:p>
      <w:pPr>
        <w:pStyle w:val="ListParagraph"/>
        <w:numPr>
          <w:ilvl w:val="0"/>
          <w:numId w:val="1"/>
        </w:numPr>
        <w:spacing w:after="60"/>
      </w:pPr>
      <w:r>
        <w:t xml:space="preserve">Re-check trigger: a large ONGC/OIL/OALP seismic award AND evidence the ED matter is resolved AND a return to operating profit - all three needed before this moves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2026-09-10T03:29:27.196Z</dcterms:created>
  <dcterms:modified xsi:type="dcterms:W3CDTF">2026-09-10T03:29:27.196Z</dcterms:modified>
</cp:coreProperties>
</file>

<file path=docProps/custom.xml><?xml version="1.0" encoding="utf-8"?>
<Properties xmlns="http://schemas.openxmlformats.org/officeDocument/2006/custom-properties" xmlns:vt="http://schemas.openxmlformats.org/officeDocument/2006/docPropsVTypes"/>
</file>