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Ashutosh Fibre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Sub-Rs 250 Cr just-IPO'd Gujarat technical-yarn maker with a real margin-expansion record (EBITDA margin ~15% -&gt; ~26%, ROCE ~27%) -- but FY26 revenue was flat and there is no listed-company track record yet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Ashutosh Fibre (SME IPO, 31 Aug - 2 Sep 2026; Petlad, Gujarat) is a B2B manufacturer of technical and synthetic yarns across four technical-textile segments -- Indutech, Protech, Hometech and Mobiltech -- with end uses in filtration, pollution control, construction/infrastructure, automotive, protective equipment, packaging and home furnishing. The stated thesis is a mix-shift toward higher-value Protech (protective) yarns.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211 Cr (micro-cap)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~27.2% / ~36.6%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+2% YoY (essentially flat)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PAT</w:t>
            </w:r>
          </w:p>
        </w:tc>
        <w:tc>
          <w:tcPr>
            <w:tcW w:type="dxa" w:w="5800"/>
          </w:tcPr>
          <w:p>
            <w:r>
              <w:t xml:space="preserve">~Rs 16.0 Cr, +89% YoY (margin-led, not volume-led)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EBITDA</w:t>
            </w:r>
          </w:p>
        </w:tc>
        <w:tc>
          <w:tcPr>
            <w:tcW w:type="dxa" w:w="5800"/>
          </w:tcPr>
          <w:p>
            <w:r>
              <w:t xml:space="preserve">~Rs 31.1 Cr; EBITDA margin ~26.5% (up from ~15%)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D/E improved 1.60 -&gt; 0.92; total borrowings ~Rs 47.9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Stock P/E</w:t>
            </w:r>
          </w:p>
        </w:tc>
        <w:tc>
          <w:tcPr>
            <w:tcW w:type="dxa" w:w="5800"/>
          </w:tcPr>
          <w:p>
            <w:r>
              <w:t xml:space="preserve">~13.2x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margin trajectory (EBITDA margin roughly 15% to 26% over three years, PAT +89% in FY26) is the entire attraction, and the valuation (~13x) is undemanding. Against that: FY26 revenue was flat, so the profit growth is a margin story that has to keep compounding to matter; borrowings are still ~Rs 48 Cr on a small base; and the company has essentially no history as a listed entity, no concall cadence, and a promoter-run micro-cap governance profile. Technical yarn is a competitive space and the 'move to higher-value Protech' is a plan, not yet a demonstrated multi-year mix shift.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freshly listed, no meaningful chart history.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dedicated ValuePickr thread found (categories 11/14/17 search returned nothing) -- topic_slug null; research is IPO-document / web based. Coverage is limited to IPO reviews (issue priced ~12.5x).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 trusted-user coverage. Untrusted X-triage lead (@BeatTheStreet10).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Newly listed SME; no corporate-action history to assess. Standard micro-cap / promoter-CFO-style disclosure caveats apply.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Genuine three-year margin expansion (EBITDA margin ~15% -&gt; ~26%), ROCE ~27%, ROE ~37%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Cheap on trailing earnings (~13x) versus the profitability profile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Deleveraging (D/E 1.60 -&gt; 0.92)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Optionality in a mix-shift toward higher-value Protech / technical-textile segments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FY26 revenue was flat (+2%) -- the growth is entirely margin, which is harder to sustain than volume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Just-listed SME with no public track record, no concall history, promoter-run micro-cap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Technical/synthetic yarn is competitive and partly commoditised; 'right to win' in Protech is unproven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~Rs 48 Cr of borrowings on a small equity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Lead quality is low (untrusted X handle), no independent community validation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(~Rs 211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weak · moat: no · valuation: weak  (score 1.5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tailwind=weak (technical-textile demand exists but no sharp accelerating pull; priority-2 textile theme only tangentially relevant). tam=weak (competitive yarn segments). moat=no (synthetic/technical yarn is largely commoditised). valuation=weak (~13x is cheap but on a flat-revenue, margin-only story with no listed history). Score 1.5 -&gt; neither, hard.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real margin-expansion record at a cheap multiple, but flat revenue, no listed history and a competitive commoditised end-product keep it out of the multi-bagger bucket -- 'neither', Low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at priority 1; the nearest is priority-2 'Textile exports', and the specific driver here is internal margin mix, not the FTA/de-stocking export cycle -- recency/quality discovery, not a theme play.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1.5 -&gt; 'neither' (hard): tailwind weak, tam weak, moat no, valuation weak. The small-cap live-inflection carve-out does not apply because FY26 revenue was flat -- there is no 'strong specific recent quarter' on the top line, only a margin print.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Conviction Low. Re-check only if two-plus quarters show real volume growth alongside the higher margin, and a concall cadence establishes disclosure quality.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2026-09-09T13:51:41.829Z</dcterms:created>
  <dcterms:modified xsi:type="dcterms:W3CDTF">2026-09-09T13:51:41.830Z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