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Atharva Poly-Plast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~130 Cr just-listed SME precision-injection-moulder for furniture, appliance and auto OEMs -- ROE ~35%, EBITDA margin ~20%, PAT up ~7x in two years off a tiny base -- but it is a small, customer-concentrated job-shop with no listed track record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Atharva Poly-Plast (NSE: ATHARVA; recent SME IPO) makes customised plastic injection-moulded components and sub-assemblies (polypropylene, ABS, HDPE, engineering polymers) for OEMs and Tier-1 suppliers across furniture, home appliances and automotive. The pitch is a mix-shift toward premium/precision parts that lifted EBITDA margin from ~10% to ~19-20% over three years.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131 Cr (micro-cap)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~35.1%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margin</w:t>
            </w:r>
          </w:p>
        </w:tc>
        <w:tc>
          <w:tcPr>
            <w:tcW w:type="dxa" w:w="5800"/>
          </w:tcPr>
          <w:p>
            <w:r>
              <w:t xml:space="preserve">~20%; PAT margin &gt;11%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</w:t>
            </w:r>
          </w:p>
        </w:tc>
        <w:tc>
          <w:tcPr>
            <w:tcW w:type="dxa" w:w="5800"/>
          </w:tcPr>
          <w:p>
            <w:r>
              <w:t xml:space="preserve">~Rs 0.71 Cr (FY23) -&gt; ~Rs 5.29 Cr (FY25)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Reduced; debtor days improved 52 -&gt; 33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~25x on FY25 PAT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three-year margin and PAT trajectory is impressive in percentage terms but the absolute base is tiny (~Rs 5 Cr PAT), and the numbers were achieved as a private company -- there is no listed history, no concall cadence, and micro-cap promoter-run disclosure. Custom injection moulding is a competitive job-shop business with high customer concentration and limited switching costs beyond tooling; the 'premium shift' is a plausible but small and unproven differentiator. Working-capital improvement (debtor days 52 -&gt; 33) is a real positive.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freshly listed, no history.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(categories 11/14/17 search returned nothing) -- topic_slug null; research is IPO-document / web based.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coverage. Untrusted X-triage lead (@BeatTheStreet10).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Newly listed SME; no corporate-action history to assess. Standard micro-cap governance / liquidity caveats apply.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three-year improvement -- EBITDA margin ~10% -&gt; ~20%, PAT ~Rs 0.7 Cr -&gt; ~Rs 5.3 Cr, ROE ~35%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discipline improving (debtor days 52 -&gt; 33), debt reduced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if the premium/precision-parts mix keeps rising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absolute base (~Rs 5 Cr PAT); percentage growth flatters a very small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injection moulding is a competitive job-shop with customer concentration and weak switching costs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listed track record, no concalls, promoter-run micro-cap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End-markets (furniture, appliances, auto components) are cyclical and price-competitive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lead; no community or trusted validation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131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tailwind=weak (no accelerating pull; cyclical furniture/appliance/auto end-markets). tam=weak (small custom-moulding niche, tiny captured base). moat=no (job-shop, customer concentration, low switching cost). valuation=weak (~25x on ~Rs 5 Cr PAT micro-cap with no listed history). Score 1.0 -&gt; neither,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margin-improvement record on a tiny base, but a competitive job-shop model with no listed history -- 'neither',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-- 'engineering plastic / advanced plastic' appears in the priority-2 EV theme keywords, but this is commodity/technical injection moulding for furniture and appliances, not battery-adjacent advanced polymers; recency/lead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1.0 -&gt; 'neither' (hard). tailwind weak, tam weak, moat no (job-shop moulding), valuation weak (~25x on a ~Rs 5 Cr PAT micro-cap). The small-cap live-inflection carve-out is not compelling here -- the improvement is a multi-year margin drift, not a sharp catalyst-driven recent quarter, and there is no listed history to judge durability.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Low. Re-check only if two-plus listed quarters show sustained growth with the higher margin and the customer base proves diversified.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2026-09-09T13:51:42.174Z</dcterms:created>
  <dcterms:modified xsi:type="dcterms:W3CDTF">2026-09-09T13:51:42.174Z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