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CSB Bank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regional-bank turnaround story with a genuinely strong latest quarter, but real community-flagged concerns about underwriting discipline and asset-quality trajectory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CSB Bank (formerly Catholic Syrian Bank) is a mid-sized private bank that has been repositioning around aggressive gold-loan and deposit growth as part of a multi-year turnaround from a struggling regional lender.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5,609-5,609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GNPA</w:t>
            </w:r>
          </w:p>
        </w:tc>
        <w:tc>
          <w:tcPr>
            <w:tcW w:type="dxa" w:w="5800"/>
          </w:tcPr>
          <w:p>
            <w:r>
              <w:t xml:space="preserve">1.75% (Q1 FY27), 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(Jun 2026)</w:t>
            </w:r>
          </w:p>
        </w:tc>
        <w:tc>
          <w:tcPr>
            <w:tcW w:type="dxa" w:w="5800"/>
          </w:tcPr>
          <w:p>
            <w:r>
              <w:t xml:space="preserve">Net profit +27% YoY to Rs 150 Cr; NII +26% to Rs 479 Cr; ROE improved to 12.71% from 10.9% YoY; deposits +26% to Rs 45,415 Cr; advances +24%, led by a 47% surge in gold loans; Capital Adequacy 19.96%; NIM 3.66%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Q1 FY27 is genuinely strong across the board -- profit growth, NII growth, ROE improvement, and stable asset quality (GNPA 1.75%) -- with gold loans (47% of the growth mix) doing much of the heavy lifting. An earlier trailing screener pull showing near-zero/negative ROCE/ROE appears stale or from a distressed prior period and is superseded by this quarter's genuinely improved figures.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311 · 8.12x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P/B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~1.1x book / ~8x earnings on ~13% ROE implies the market expects mid-teens book-value CAGR at best; a re-rating needs ROE back toward 15%+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advances +20-25% (SME + gold + retail), NIM stabilising, credit cost benign; PAT +12-18%, ROE ~12-13%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operating leverage from the branch-expansion investment phase; ROE recovery toward 14-15% the key swing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1.1x book is undemanding for 20%+ loan growth and clean asset quality, but ROE has drifted from 15% to 13% during a costly expansion phase and the multiple won't re-rate until ROE turns.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13%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The stock hit a fresh one-year low in early August 2026 despite the strong Q1 results, and a forum poster (May 2026) noted an unexplained correction since Q4 results even with no obvious concern on growth or valuation at the time.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all 61 posts of the ValuePickr company thread (2021-2026). Activity is fairly steady but with no single high-conviction trusted call; several trusted users (Lavanya_Tomar, Rahul_Behera, both elevated-tier) posted but without a strong bullish thesis captured in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Rajesh_kumar_Singh (non-trusted, active tracker) called out "super result" after Q2 FY26 (Nov 2025) with income/profit rising and bad loans under control. Ashar_Mann (Jan 2026) posted a detailed investment note framing CSB as a "regional bank becoming mid-sized bank" turnaround story. But more recent posts (2026) raise real, unresolved concerns: thakurvi (Feb 2026, invested, self-described as "observing keenly") flagged a rising CD ratio alongside increasing GNPA as a cause for concern, questioning whether management's confidence in a GNPA improvement can be trusted. Nishit_Shah2 (May 2026) flagged specific concerns about the wholesale book and bulk deposits dragging margins with low yield, plus market chatter that CSB brought in an entire ex-IndusInd Bank wholesale team whose underwriting standards are "not top notch" -- a genuine, if unconfirmed, underwriting-quality concern.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shows broad-based, genuine improvement: profit +27%, NII +26%, ROE up to 12.71%, with stable asset quality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Gold-loan-led growth (47% surge) is a relatively low-risk growth lever for a bank in turnaround mode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credible, detailed turnaround thesis exists in the community (Ashar_Mann's investment note) framing this as a multi-year re-rating story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knowledgeable poster flagged rising CD ratio alongside increasing GNPA -- a real early-warning combination for a bank, with management's own reassurance on this treated skeptically by the community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Specific, credible concern that CSB recruited an entire ex-IndusInd Bank wholesale underwriting team whose standards may not be strong -- a real, forward-looking underwriting-quality risk not yet visible in reported asset-quality numbers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 hit a fresh one-year low in August 2026 despite the strong headline quarter, suggesting the market may be pricing in concerns beyond what the reported numbers show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Small-mid-cap (~Rs 5,609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no · valuation: weak  (score 2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Size fits bank re-rating (tam yes) but ex-IndusInd wholesale-team underwriting concern + rising CD ratio/GNPA argue moat no; no growth/valuation data recorded, marked weak.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bank turnaround with strong reported numbers, but real, specific community-flagged underwriting concerns keep conviction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FY27's profit, NII, and ROE improvement are all genuine and well-documented, and the size (Rs 5,609 Cr) fits the thesis for a bank re-rating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specific, credible community concerns -- rising CD ratio with GNPA, and an ex-IndusInd wholesale team whose underwriting quality is questioned -- are forward-looking risks that reported numbers wouldn't yet show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is set to Low-Medium given the genuine tension between strong current numbers and credible forward-looking underwriting-quality concerns from engaged community members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2026-09-09T18:15:33.967Z</dcterms:created>
  <dcterms:modified xsi:type="dcterms:W3CDTF">2026-09-09T18:15:33.967Z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