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Chaman Lal Setia Exports Ltd</w:t>
      </w:r>
    </w:p>
    <w:p>
      <w:pPr>
        <w:pBdr>
          <w:bottom w:val="single" w:color="CCCCCC" w:sz="6" w:space="8"/>
        </w:pBdr>
        <w:spacing w:after="200"/>
      </w:pPr>
      <w:r>
        <w:rPr>
          <w:i/>
          <w:iCs/>
          <w:color w:val="666666"/>
          <w:sz w:val="22"/>
          <w:szCs w:val="22"/>
        </w:rPr>
        <w:t xml:space="preserve">A steady, low-debt basmati-rice exporter with genuine multi-year trusted diligence and real capacity expansion — bounded by basmati-price cyclicality that has kept the stock down over the past year despite the growth</w:t>
      </w:r>
    </w:p>
    <w:p>
      <w:pPr>
        <w:pStyle w:val="Heading1"/>
        <w:spacing w:after="120" w:before="280"/>
      </w:pPr>
      <w:r>
        <w:t xml:space="preserve">Business Overview</w:t>
      </w:r>
    </w:p>
    <w:p>
      <w:pPr>
        <w:spacing w:after="120"/>
      </w:pPr>
      <w:r>
        <w:t xml:space="preserve">Chaman Lal Setia Exports (CLSE) is one of India's oldest basmati rice millers/exporters, selling to 90+ countries with a diversified small-customer base (typically 20-30 customers per country). It has been executing a real capacity expansion program — adding plants in Karnal and Gandhidham, increasing dryer and packing-plant capacity — aimed at scaling quarterly export revenue from Rs 400 Cr toward Rs 500 Cr.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1,451 Cr (down 8.39% in 1 year)</w:t>
            </w:r>
          </w:p>
        </w:tc>
      </w:tr>
      <w:tr>
        <w:tc>
          <w:tcPr>
            <w:tcW w:type="dxa" w:w="3200"/>
            <w:shd w:fill="F2F2F2" w:val="clear"/>
          </w:tcPr>
          <w:p>
            <w:r>
              <w:rPr>
                <w:b/>
                <w:bCs/>
              </w:rPr>
              <w:t xml:space="preserve">ROCE</w:t>
            </w:r>
          </w:p>
        </w:tc>
        <w:tc>
          <w:tcPr>
            <w:tcW w:type="dxa" w:w="5800"/>
          </w:tcPr>
          <w:p>
            <w:r>
              <w:t xml:space="preserve">16.7%</w:t>
            </w:r>
          </w:p>
        </w:tc>
      </w:tr>
      <w:tr>
        <w:tc>
          <w:tcPr>
            <w:tcW w:type="dxa" w:w="3200"/>
            <w:shd w:fill="F2F2F2" w:val="clear"/>
          </w:tcPr>
          <w:p>
            <w:r>
              <w:rPr>
                <w:b/>
                <w:bCs/>
              </w:rPr>
              <w:t xml:space="preserve">ROE</w:t>
            </w:r>
          </w:p>
        </w:tc>
        <w:tc>
          <w:tcPr>
            <w:tcW w:type="dxa" w:w="5800"/>
          </w:tcPr>
          <w:p>
            <w:r>
              <w:t xml:space="preserve">14.2%</w:t>
            </w:r>
          </w:p>
        </w:tc>
      </w:tr>
      <w:tr>
        <w:tc>
          <w:tcPr>
            <w:tcW w:type="dxa" w:w="3200"/>
            <w:shd w:fill="F2F2F2" w:val="clear"/>
          </w:tcPr>
          <w:p>
            <w:r>
              <w:rPr>
                <w:b/>
                <w:bCs/>
              </w:rPr>
              <w:t xml:space="preserve">3-yr sales growth</w:t>
            </w:r>
          </w:p>
        </w:tc>
        <w:tc>
          <w:tcPr>
            <w:tcW w:type="dxa" w:w="5800"/>
          </w:tcPr>
          <w:p>
            <w:r>
              <w:t xml:space="preserve">17%</w:t>
            </w:r>
          </w:p>
        </w:tc>
      </w:tr>
      <w:tr>
        <w:tc>
          <w:tcPr>
            <w:tcW w:type="dxa" w:w="3200"/>
            <w:shd w:fill="F2F2F2" w:val="clear"/>
          </w:tcPr>
          <w:p>
            <w:r>
              <w:rPr>
                <w:b/>
                <w:bCs/>
              </w:rPr>
              <w:t xml:space="preserve">3-yr profit CAGR</w:t>
            </w:r>
          </w:p>
        </w:tc>
        <w:tc>
          <w:tcPr>
            <w:tcW w:type="dxa" w:w="5800"/>
          </w:tcPr>
          <w:p>
            <w:r>
              <w:t xml:space="preserve">16%</w:t>
            </w:r>
          </w:p>
        </w:tc>
      </w:tr>
      <w:tr>
        <w:tc>
          <w:tcPr>
            <w:tcW w:type="dxa" w:w="3200"/>
            <w:shd w:fill="F2F2F2" w:val="clear"/>
          </w:tcPr>
          <w:p>
            <w:r>
              <w:rPr>
                <w:b/>
                <w:bCs/>
              </w:rPr>
              <w:t xml:space="preserve">52-week range</w:t>
            </w:r>
          </w:p>
        </w:tc>
        <w:tc>
          <w:tcPr>
            <w:tcW w:type="dxa" w:w="5800"/>
          </w:tcPr>
          <w:p>
            <w:r>
              <w:t xml:space="preserve">Rs 203.75 - Rs 395.75 (as of 08-May-2026)</w:t>
            </w:r>
          </w:p>
        </w:tc>
      </w:tr>
      <w:tr>
        <w:tc>
          <w:tcPr>
            <w:tcW w:type="dxa" w:w="3200"/>
            <w:shd w:fill="F2F2F2" w:val="clear"/>
          </w:tcPr>
          <w:p>
            <w:r>
              <w:rPr>
                <w:b/>
                <w:bCs/>
              </w:rPr>
              <w:t xml:space="preserve">Debt</w:t>
            </w:r>
          </w:p>
        </w:tc>
        <w:tc>
          <w:tcPr>
            <w:tcW w:type="dxa" w:w="5800"/>
          </w:tcPr>
          <w:p>
            <w:r>
              <w:t xml:space="preserve">Low</w:t>
            </w:r>
          </w:p>
        </w:tc>
      </w:tr>
    </w:tbl>
    <w:p>
      <w:pPr>
        <w:spacing w:after="100"/>
      </w:pPr>
    </w:p>
    <w:p>
      <w:pPr>
        <w:spacing w:after="120"/>
      </w:pPr>
      <w:r>
        <w:t xml:space="preserve">Decent, not exceptional, quality metrics (ROCE 16.7%, ROE 14.2%) with real capacity expansion underway. Revenue and margins are meaningfully affected by basmati price cycles (EBITDA margins compress when the company is selling higher-cost inventory into a falling-price market, and vice versa) — management's own capacity-expansion guidance (Rs 2,000 Cr sales target within 18 months as of Aug 2024) has been running behind schedule as basmati prices fell through 2025-2026, causing 'flattish' sales in some quarters despite volume growth. The stock is down 8.39% over the past year despite real operational progress, suggesting the market remains skeptical of near-term margin recovery.</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2026-09-09</w:t>
            </w:r>
          </w:p>
        </w:tc>
      </w:tr>
      <w:tr>
        <w:tc>
          <w:tcPr>
            <w:tcW w:type="dxa" w:w="3200"/>
            <w:shd w:fill="F2F2F2" w:val="clear"/>
          </w:tcPr>
          <w:p>
            <w:r>
              <w:rPr>
                <w:b/>
                <w:bCs/>
              </w:rPr>
              <w:t xml:space="preserve">Price / multiple</w:t>
            </w:r>
          </w:p>
        </w:tc>
        <w:tc>
          <w:tcPr>
            <w:tcW w:type="dxa" w:w="5800"/>
          </w:tcPr>
          <w:p>
            <w:r>
              <w:t xml:space="preserve">Rs 305 · 12.1x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~12x TTM on a low-debt basmati exporter implies ~8-10% EPS CAGR FY26-28 at a 14-16x exit - the multiple discounts the basmati-price cyclicality that has driven lumpy revenue</w:t>
            </w:r>
          </w:p>
        </w:tc>
      </w:tr>
      <w:tr>
        <w:tc>
          <w:tcPr>
            <w:tcW w:type="dxa" w:w="3200"/>
            <w:shd w:fill="F2F2F2" w:val="clear"/>
          </w:tcPr>
          <w:p>
            <w:r>
              <w:rPr>
                <w:b/>
                <w:bCs/>
              </w:rPr>
              <w:t xml:space="preserve">Our FY27</w:t>
            </w:r>
          </w:p>
        </w:tc>
        <w:tc>
          <w:tcPr>
            <w:tcW w:type="dxa" w:w="5800"/>
          </w:tcPr>
          <w:p>
            <w:r>
              <w:t xml:space="preserve">revenue recovery as basmati prices normalise plus new capacity; PAT growth low-teens off a soft FY26 base</w:t>
            </w:r>
          </w:p>
        </w:tc>
      </w:tr>
      <w:tr>
        <w:tc>
          <w:tcPr>
            <w:tcW w:type="dxa" w:w="3200"/>
            <w:shd w:fill="F2F2F2" w:val="clear"/>
          </w:tcPr>
          <w:p>
            <w:r>
              <w:rPr>
                <w:b/>
                <w:bCs/>
              </w:rPr>
              <w:t xml:space="preserve">Our FY28</w:t>
            </w:r>
          </w:p>
        </w:tc>
        <w:tc>
          <w:tcPr>
            <w:tcW w:type="dxa" w:w="5800"/>
          </w:tcPr>
          <w:p>
            <w:r>
              <w:t xml:space="preserve">capacity expansion contributes a full year; margin range-bound at 9-12% on rice-price pass-through</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volume</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market prices the cyclicality (12x); the multi-year capacity expansion and consistently high ROCE (17-46%) are not fully in the multiple, but neither is a re-rating catalyst visible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18% (declining)</w:t>
            </w:r>
          </w:p>
        </w:tc>
      </w:tr>
      <w:tr>
        <w:tc>
          <w:tcPr>
            <w:tcW w:type="dxa" w:w="3200"/>
            <w:shd w:fill="F2F2F2" w:val="clear"/>
          </w:tcPr>
          <w:p>
            <w:r>
              <w:rPr>
                <w:b/>
                <w:bCs/>
              </w:rPr>
              <w:t xml:space="preserve">Leverage</w:t>
            </w:r>
          </w:p>
        </w:tc>
        <w:tc>
          <w:tcPr>
            <w:tcW w:type="dxa" w:w="5800"/>
          </w:tcPr>
          <w:p>
            <w:r>
              <w:t xml:space="preserve">Net debt/EBITDA 0.5x</w:t>
            </w:r>
          </w:p>
        </w:tc>
      </w:tr>
      <w:tr>
        <w:tc>
          <w:tcPr>
            <w:tcW w:type="dxa" w:w="3200"/>
            <w:shd w:fill="F2F2F2" w:val="clear"/>
          </w:tcPr>
          <w:p>
            <w:r>
              <w:rPr>
                <w:b/>
                <w:bCs/>
              </w:rPr>
              <w:t xml:space="preserve">FCF conversion</w:t>
            </w:r>
          </w:p>
        </w:tc>
        <w:tc>
          <w:tcPr>
            <w:tcW w:type="dxa" w:w="5800"/>
          </w:tcPr>
          <w:p>
            <w:r>
              <w:t xml:space="preserve">15%</w:t>
            </w:r>
          </w:p>
        </w:tc>
      </w:tr>
      <w:tr>
        <w:tc>
          <w:tcPr>
            <w:tcW w:type="dxa" w:w="3200"/>
            <w:shd w:fill="F2F2F2" w:val="clear"/>
          </w:tcPr>
          <w:p>
            <w:r>
              <w:rPr>
                <w:b/>
                <w:bCs/>
              </w:rPr>
              <w:t xml:space="preserve">Margin trend</w:t>
            </w:r>
          </w:p>
        </w:tc>
        <w:tc>
          <w:tcPr>
            <w:tcW w:type="dxa" w:w="5800"/>
          </w:tcPr>
          <w:p>
            <w:r>
              <w:t xml:space="preserve">stable</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3 of the last 11 years (consistency_score 27)</w:t>
      </w:r>
    </w:p>
    <w:p>
      <w:pPr>
        <w:spacing w:after="120"/>
      </w:pPr>
      <w:r>
        <w:rPr>
          <w:color w:val="666666"/>
          <w:sz w:val="18"/>
          <w:szCs w:val="18"/>
        </w:rPr>
        <w:t xml:space="preserve">Of FY16-FY26, only FY18 (+51.5%/29%), FY23 (+48.8%/26%) and FY25 (+10.3%/17%) cleared both filters. ROCE is consistently 17-46% but basmati-price cyclicality keeps revenue growth above 10% in only 3 of 11 years.</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the 50 most recent posts (#232-285, spanning Feb 2023 to Apr 2026) of a thread with the most sustained single-user trusted diligence found in this batch: harsh.beria93 (trusted, elevated-tier) has posted detailed, consistent concall notes across at least 6 consecutive quarters (FY23Q4 through FY25Q3), including a genuinely useful realizations-vs-margin scatterplot analysis. Multiple other posters (praveen_sham, Gautam_Chopra, aditya.archi both trusted-elevated for the latter) corroborate continued engagement and a comparison to LT Foods as a potential re-rating case.</w:t>
      </w:r>
    </w:p>
    <w:p>
      <w:pPr>
        <w:spacing w:after="120"/>
      </w:pPr>
      <w:r>
        <w:rPr>
          <w:b/>
          <w:bCs/>
          <w:sz w:val="20"/>
          <w:szCs w:val="20"/>
        </w:rPr>
        <w:t xml:space="preserve">High-conviction call from a top contributor: </w:t>
      </w:r>
      <w:r>
        <w:rPr>
          <w:sz w:val="20"/>
          <w:szCs w:val="20"/>
        </w:rPr>
        <w:t xml:space="preserve">harsh.beria93 (trusted, elevated-tier) confirmed in the source_detail 'Yes, I still hold it...' and separately noted selling only a little in the company's buyback while remaining invested — sustained, multi-year, still-current conviction rather than a one-time mention. aditya.archi (trusted, elevated-tier) provided the most bullish framing in the thread (Nov 2024): 'Can be next LT Foods... can reap benefits of PE Rerating and Margin Expansion and Sales n Profit growth.'</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2024-11-07 — aditya.archi (trusted, elevated-tier)</w:t>
      </w:r>
      <w:r>
        <w:rPr>
          <w:i/>
          <w:iCs/>
          <w:color w:val="666666"/>
          <w:sz w:val="18"/>
          <w:szCs w:val="18"/>
        </w:rPr>
        <w:t xml:space="preserve"> (Chaman Lal Setia Exports company thread)</w:t>
      </w:r>
      <w:r>
        <w:rPr>
          <w:sz w:val="20"/>
          <w:szCs w:val="20"/>
        </w:rPr>
        <w:br/>
        <w:t xml:space="preserve">: Framed CLSE as a potential 'next LT Foods' with PE re-rating and margin-expansion potential after studying investor presentations and multiple concalls.</w:t>
      </w:r>
    </w:p>
    <w:p>
      <w:pPr>
        <w:spacing w:after="100"/>
      </w:pPr>
      <w:r>
        <w:rPr>
          <w:b/>
          <w:bCs/>
          <w:sz w:val="20"/>
          <w:szCs w:val="20"/>
        </w:rPr>
        <w:t xml:space="preserve">FY23-FY25, ongoing (posts #570, #599 in source thread) — harsh.beria93 (trusted, elevated-tier)</w:t>
      </w:r>
      <w:r>
        <w:rPr>
          <w:i/>
          <w:iCs/>
          <w:color w:val="666666"/>
          <w:sz w:val="18"/>
          <w:szCs w:val="18"/>
        </w:rPr>
        <w:t xml:space="preserve"> (The harsh portfolio! (backfill source) + Chaman Lal Setia Exports company thread (direct concall-note diligence))</w:t>
      </w:r>
      <w:r>
        <w:rPr>
          <w:sz w:val="20"/>
          <w:szCs w:val="20"/>
        </w:rPr>
        <w:br/>
        <w:t xml:space="preserve">: Sustained, multi-year concall-note diligence (at least 6 consecutive quarters); confirmed still holding, having sold only a little into the company's buyback.</w:t>
      </w:r>
    </w:p>
    <w:p>
      <w:pPr>
        <w:pStyle w:val="Heading1"/>
        <w:spacing w:after="120" w:before="280"/>
      </w:pPr>
      <w:r>
        <w:t xml:space="preserve">BSE Corporate Actions / Other Red Flags</w:t>
      </w:r>
    </w:p>
    <w:p>
      <w:pPr>
        <w:spacing w:after="120"/>
      </w:pPr>
      <w:r>
        <w:t xml:space="preserve">No SEBI/regulatory action found. Promoter-related unsecured loans to the company at 9% interest were questioned by forum users as a minor governance nitpick (resolved as a reasonably-priced, asset-light working-capital mechanism, not a red flag). Management confirmed no exposure to Iran-conflict-related disruptions (Apr 2026 concall).</w:t>
      </w:r>
    </w:p>
    <w:p>
      <w:pPr>
        <w:pStyle w:val="Heading1"/>
        <w:spacing w:after="120" w:before="280"/>
      </w:pPr>
      <w:r>
        <w:t xml:space="preserve">Bull Case</w:t>
      </w:r>
    </w:p>
    <w:p>
      <w:pPr>
        <w:pStyle w:val="ListParagraph"/>
        <w:numPr>
          <w:ilvl w:val="0"/>
          <w:numId w:val="1"/>
        </w:numPr>
        <w:spacing w:after="60"/>
      </w:pPr>
      <w:r>
        <w:t xml:space="preserve">The most sustained, multi-year, still-current trusted diligence found in this batch of stocks (harsh.beria93's consistent quarterly concall notes across 2+ years), with the analyst confirming continued conviction as recently as the source data</w:t>
      </w:r>
    </w:p>
    <w:p>
      <w:pPr>
        <w:pStyle w:val="ListParagraph"/>
        <w:numPr>
          <w:ilvl w:val="0"/>
          <w:numId w:val="1"/>
        </w:numPr>
        <w:spacing w:after="60"/>
      </w:pPr>
      <w:r>
        <w:t xml:space="preserve">Real capacity expansion underway (new plants in Karnal, Gandhidham; more dryers and packing capacity) aimed at scaling quarterly exports from Rs 400 Cr toward Rs 500 Cr</w:t>
      </w:r>
    </w:p>
    <w:p>
      <w:pPr>
        <w:pStyle w:val="ListParagraph"/>
        <w:numPr>
          <w:ilvl w:val="0"/>
          <w:numId w:val="1"/>
        </w:numPr>
        <w:spacing w:after="60"/>
      </w:pPr>
      <w:r>
        <w:t xml:space="preserve">Genuine structural quality differentiator vs peers: CLSE doesn't age its rice inventory (unlike KRBL), reducing inventory risk, and has a diversified, sticky small-customer export base across 90 countries</w:t>
      </w:r>
    </w:p>
    <w:p>
      <w:pPr>
        <w:pStyle w:val="ListParagraph"/>
        <w:numPr>
          <w:ilvl w:val="0"/>
          <w:numId w:val="1"/>
        </w:numPr>
        <w:spacing w:after="60"/>
      </w:pPr>
      <w:r>
        <w:t xml:space="preserve">Low debt, decent ROCE/ROE (16.7%/14.2%), and the stock is down over the past year despite real operational progress — potentially offering a more reasonable entry point than when the trusted calls were first made</w:t>
      </w:r>
    </w:p>
    <w:p>
      <w:pPr>
        <w:pStyle w:val="Heading1"/>
        <w:spacing w:after="120" w:before="280"/>
      </w:pPr>
      <w:r>
        <w:t xml:space="preserve">Bear Case / Key Risks</w:t>
      </w:r>
    </w:p>
    <w:p>
      <w:pPr>
        <w:pStyle w:val="ListParagraph"/>
        <w:numPr>
          <w:ilvl w:val="0"/>
          <w:numId w:val="1"/>
        </w:numPr>
        <w:spacing w:after="60"/>
      </w:pPr>
      <w:r>
        <w:t xml:space="preserve">Genuine commodity-price cyclicality caps predictability: EBITDA margins are directly exposed to basmati price swings, and management's own growth targets (Rs 2,000 Cr sales in 18 months, set Aug 2024) have been running behind schedule as prices fell through 2025-2026</w:t>
      </w:r>
    </w:p>
    <w:p>
      <w:pPr>
        <w:pStyle w:val="ListParagraph"/>
        <w:numPr>
          <w:ilvl w:val="0"/>
          <w:numId w:val="1"/>
        </w:numPr>
        <w:spacing w:after="60"/>
      </w:pPr>
      <w:r>
        <w:t xml:space="preserve">Weaker operating-cash-flow conversion than larger peer KRBL, per a detailed forum comparison — a real, if second-order, quality gap</w:t>
      </w:r>
    </w:p>
    <w:p>
      <w:pPr>
        <w:pStyle w:val="ListParagraph"/>
        <w:numPr>
          <w:ilvl w:val="0"/>
          <w:numId w:val="1"/>
        </w:numPr>
        <w:spacing w:after="60"/>
      </w:pPr>
      <w:r>
        <w:t xml:space="preserve">Stock price has fallen 8.39% over the past year despite real capacity additions, suggesting the market isn't yet rewarding the expansion story</w:t>
      </w:r>
    </w:p>
    <w:p>
      <w:pPr>
        <w:pStyle w:val="ListParagraph"/>
        <w:numPr>
          <w:ilvl w:val="0"/>
          <w:numId w:val="1"/>
        </w:numPr>
        <w:spacing w:after="60"/>
      </w:pPr>
      <w:r>
        <w:t xml:space="preserve">This remains fundamentally a commodity-exposed export business — even with good execution, sustained 10x-pace growth is structurally harder in a price-cyclical commodity category than in a secular-growth one</w:t>
      </w:r>
    </w:p>
    <w:p>
      <w:pPr>
        <w:pStyle w:val="Heading1"/>
        <w:spacing w:after="120" w:before="280"/>
      </w:pPr>
      <w:r>
        <w:t xml:space="preserve">Market-Cap Tier (informational — not a gate in this project)</w:t>
      </w:r>
    </w:p>
    <w:p>
      <w:pPr>
        <w:spacing w:after="120"/>
      </w:pPr>
      <w:r>
        <w:rPr>
          <w:b/>
          <w:bCs/>
        </w:rPr>
        <w:t xml:space="preserve">small-cap</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no · TAM: weak · moat: yes · valuation: yes  (score 2.5 / 4)</w:t>
      </w:r>
    </w:p>
    <w:p>
      <w:pPr>
        <w:spacing w:after="120"/>
      </w:pPr>
      <w:r>
        <w:rPr>
          <w:i/>
          <w:iCs/>
          <w:color w:val="666666"/>
          <w:sz w:val="20"/>
          <w:szCs w:val="20"/>
        </w:rPr>
        <w:t xml:space="preserve">Basmati commodity-price cyclicality is explicitly flagged as structurally harder for sustained 10x growth than a secular category — tailwind no; capacity expansion (Karnal, Gandhidham) is real but running behind schedule vs management's own targets — tam weak; not aging rice inventory (unlike KRBL) + diversified 90-country small-customer export base is a genuine quality moat; stock down 8.39% in a year despite real capex progress — valuation yes.</w:t>
      </w:r>
    </w:p>
    <w:p>
      <w:pPr>
        <w:pStyle w:val="Heading1"/>
        <w:spacing w:after="120" w:before="280"/>
      </w:pPr>
      <w:r>
        <w:t xml:space="preserve">Verdict</w:t>
      </w:r>
    </w:p>
    <w:p>
      <w:pPr>
        <w:spacing w:after="120"/>
      </w:pPr>
      <w:r>
        <w:rPr>
          <w:b/>
          <w:bCs/>
          <w:sz w:val="24"/>
          <w:szCs w:val="24"/>
        </w:rPr>
        <w:t xml:space="preserve">The most sustained, still-current trusted diligence in this batch, backing a real small-cap capacity expansion — but basmati-price cyclicality structurally caps this as a steady compounder rather than an explosive multibagger</w:t>
      </w:r>
    </w:p>
    <w:p>
      <w:pPr>
        <w:pStyle w:val="ListParagraph"/>
        <w:numPr>
          <w:ilvl w:val="0"/>
          <w:numId w:val="1"/>
        </w:numPr>
        <w:spacing w:after="60"/>
      </w:pPr>
      <w:r>
        <w:t xml:space="preserve">This is a genuinely well-diligenced small-cap: harsh.beria93's multi-year, quarter-by-quarter concall notes are the most sustained and still-current trusted coverage found in this entire batch, and he remains invested.</w:t>
      </w:r>
    </w:p>
    <w:p>
      <w:pPr>
        <w:pStyle w:val="ListParagraph"/>
        <w:numPr>
          <w:ilvl w:val="0"/>
          <w:numId w:val="1"/>
        </w:numPr>
        <w:spacing w:after="60"/>
      </w:pPr>
      <w:r>
        <w:t xml:space="preserve">Real capacity expansion is underway with credible specifics (new plants, dryer/packing capacity additions), and CLSE has real structural advantages (no inventory ageing, diversified 90-country customer base, low debt).</w:t>
      </w:r>
    </w:p>
    <w:p>
      <w:pPr>
        <w:pStyle w:val="ListParagraph"/>
        <w:numPr>
          <w:ilvl w:val="0"/>
          <w:numId w:val="1"/>
        </w:numPr>
        <w:spacing w:after="60"/>
      </w:pPr>
      <w:r>
        <w:t xml:space="preserve">However, this is fundamentally a commodity-price-exposed export business — basmati price cycles directly drive margin volatility, and management's own growth targets have already slipped due to falling prices. This structurally caps the plausibility of sustained 10x-pace growth even with good execution.</w:t>
      </w:r>
    </w:p>
    <w:p>
      <w:pPr>
        <w:pStyle w:val="ListParagraph"/>
        <w:numPr>
          <w:ilvl w:val="0"/>
          <w:numId w:val="1"/>
        </w:numPr>
        <w:spacing w:after="60"/>
      </w:pPr>
      <w:r>
        <w:t xml:space="preserve">Conviction is set to Medium, reflecting the genuinely strong and sustained trusted diligence and decent fundamentals, while thesis_fit is 'neither' given the commodity-cyclicality ceiling on growth predictability rather than any quality concern.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2026-09-09T18:14:44.965Z</dcterms:created>
  <dcterms:modified xsi:type="dcterms:W3CDTF">2026-09-09T18:14:44.965Z</dcterms:modified>
</cp:coreProperties>
</file>

<file path=docProps/custom.xml><?xml version="1.0" encoding="utf-8"?>
<Properties xmlns="http://schemas.openxmlformats.org/officeDocument/2006/custom-properties" xmlns:vt="http://schemas.openxmlformats.org/officeDocument/2006/docPropsVTypes"/>
</file>