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Cohance Lifesciences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CRAMS/CDMO pharma arm (ex-Suven) hit by a weak quarter and a very high promoter pledge -- speculative turnaround only</w:t>
      </w:r>
    </w:p>
    <w:p>
      <w:pPr>
        <w:shd w:fill="FFF0F0" w:val="clear"/>
        <w:spacing w:after="200"/>
      </w:pPr>
      <w:r>
        <w:rPr>
          <w:b/>
          <w:bCs/>
          <w:color w:val="B8860B"/>
          <w:sz w:val="22"/>
          <w:szCs w:val="22"/>
        </w:rPr>
        <w:t xml:space="preserve">RED FLAG TIER: HIGH CAUTION — </w:t>
      </w:r>
      <w:r>
        <w:rPr>
          <w:sz w:val="20"/>
          <w:szCs w:val="20"/>
        </w:rPr>
        <w:t xml:space="preserve">94.6% of promoter holding pledged -- an extreme figure signaling real promoter-level financial stress, compounded by a loss-making, revenue-declining quarter with no concrete catalyst identified.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Cohance Lifesciences (formerly Suven Pharmaceuticals) is the demerged CRAMS/CDMO pharma arm of Suven Life Sciences, offering contract research and manufacturing services.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17,714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13.36%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10.93% (10.7% over last 3 years)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results</w:t>
            </w:r>
          </w:p>
        </w:tc>
        <w:tc>
          <w:tcPr>
            <w:tcW w:type="dxa" w:w="5800"/>
          </w:tcPr>
          <w:p>
            <w:r>
              <w:t xml:space="preserve">Loss of Rs 24.1 Cr, revenue down 23.1%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pledge</w:t>
            </w:r>
          </w:p>
        </w:tc>
        <w:tc>
          <w:tcPr>
            <w:tcW w:type="dxa" w:w="5800"/>
          </w:tcPr>
          <w:p>
            <w:r>
              <w:t xml:space="preserve">94.6% of promoter holding pledged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267.85 - 1,246.85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very wide 52-week range (high nearly 5x the low) reflects genuine volatility and uncertainty. The headline red flag is a 94.6% promoter pledge -- an extremely high figure suggesting real financial stress at the promoter level -- combined with a weak, loss-making Q1 and a sharp revenue decline. This clears the bar for HIGH CAUTION treatment.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most recent 50 of 498 posts (single batch, no escalation given the HIGH CAUTION-level fundamentals). Recent posts (Jun-Aug 2026) center on confusion over a high trailing P/E (~80x) despite subdued earnings, and speculation that low float is amplifying price swings.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 posted in this thread. Adithya_G (Jun 2026) questioned why the market assigns a P/E of 80 given the earnings picture. Garuna and Cshar (both Aug 2026) offered turnaround framing -- earnings have been temporarily subdued, and 'the market knows something better' given horrible results were absorbed without a bigger selloff, though low float was flagged as a reason price moves could be misleading in either direction. antson_m posted an AI-generated technical analysis (Aug 2026) without a clear directional call.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2026-06-20 — Cshar</w:t>
      </w:r>
      <w:r>
        <w:rPr>
          <w:i/>
          <w:iCs/>
          <w:color w:val="666666"/>
          <w:sz w:val="18"/>
          <w:szCs w:val="18"/>
        </w:rPr>
        <w:t xml:space="preserve"> (Midhun's Investment journey, post #79 (elevated tier))</w:t>
      </w:r>
      <w:r>
        <w:rPr>
          <w:sz w:val="20"/>
          <w:szCs w:val="20"/>
        </w:rPr>
        <w:br/>
        <w:t xml:space="preserve">: "Also Cohance at sub 300 levels 8% of PF, will hold both for next 4-5 years at least." Independent trusted-user conviction; Midhunjoe separately wrote it up favourably (#74, substack) but EXITED by Sep 2026 (#90). elevated-tier -&gt; no floor.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independently checked -- the 94.6% promoter pledge figure came from the fundamentals search and was not cross-verified via BSE filings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CRAMS/CDMO business with real revenue scale (~Rs 2,142 Cr) and a demerger structure the market may still be re-rating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Community speculation that current weak results are temporary/cyclical, with some suggesting a Q3/Q4 recovery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94.6% of promoter holding pledged is an extreme figure signaling real promoter-level financial stress -- a serious governance/stability concern regardless of underlying business quality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results showed an actual loss (Rs 24.1 Cr) and a 23.1% revenue decline, not just margin compression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float amplifies volatility, making price action an unreliable signal of fundamental improvement either 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clear, specific catalyst identified in the thread for a near-term turnaround -- discussion is speculative ('market knows something') rather than evidence-based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17,714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HIGH CAUTION: extreme promoter pledge plus a loss-making quarter, with no concrete turnaround catalyst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94.6% promoter pledge is close to the practical ceiling and is exactly the kind of promoter-holding-collapse-adjacent signal this screen treats as a serious caution flag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Combined with an actual quarterly loss and revenue decline (not just weak growth), and only speculative rather than evidenced community optimism about a turnaround, conviction cannot be supported at this 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Proceeded to a thread read per the HIGH CAUTION override rule, but the thread itself did not surface a countervailing catalyst strong enough to justify a positive thesis_fit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2026-09-10T15:47:14.631Z</dcterms:created>
  <dcterms:modified xsi:type="dcterms:W3CDTF">2026-09-10T15:47:14.632Z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