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Creative Newtech Ltd</w:t>
      </w:r>
    </w:p>
    <w:p>
      <w:pPr>
        <w:pBdr>
          <w:bottom w:val="single" w:color="CCCCCC" w:sz="6" w:space="8"/>
        </w:pBdr>
        <w:spacing w:after="200"/>
      </w:pPr>
      <w:r>
        <w:rPr>
          <w:i/>
          <w:iCs/>
          <w:color w:val="666666"/>
          <w:sz w:val="22"/>
          <w:szCs w:val="22"/>
        </w:rPr>
        <w:t xml:space="preserve">Rs ~1,800 Cr IT/lifestyle/security-products distributor (2% margins, negative working capital, ROCE ~20%) trying to pivot toward higher-margin brand-licensing and now a small surveillance-manufacturing acquisition -- an interesting optionality story capped by structural brand-conflict limits and a full multiple</w:t>
      </w:r>
    </w:p>
    <w:p>
      <w:pPr>
        <w:pStyle w:val="Heading1"/>
        <w:spacing w:after="120" w:before="280"/>
      </w:pPr>
      <w:r>
        <w:t xml:space="preserve">Business Overview</w:t>
      </w:r>
    </w:p>
    <w:p>
      <w:pPr>
        <w:spacing w:after="120"/>
      </w:pPr>
      <w:r>
        <w:t xml:space="preserve">Creative Newtech (formerly Creative Peripherals; founded 1992 by Ketan and Purvi Patel) runs two segments. Distribution -- acting as a market-entry specialist importing and distributing global IT, imaging, lifestyle and security brands in India; low margin (~2%) but negative-working-capital and ~20%+ ROCE. Licensing -- a gradual pivot to hold manufacture-and-sell licences for specific brands (Honeywell across categories, CyberPowerPC gaming PCs), which carry higher margins, partly booked through a low-tax Hong Kong subsidiary. In Jul 2026 the board approved acquiring 100% of Infinova (India) for up to USD 4m -- a Pune surveillance-equipment assembly/manufacturing unit with a project record (Mumbai Safe City, Nagpur Smart City, 60+ airports) -- to seed a 'Make in India' surveillance platform.</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1,836 Cr (up ~97% in a year)</w:t>
            </w:r>
          </w:p>
        </w:tc>
      </w:tr>
      <w:tr>
        <w:tc>
          <w:tcPr>
            <w:tcW w:type="dxa" w:w="3200"/>
            <w:shd w:fill="F2F2F2" w:val="clear"/>
          </w:tcPr>
          <w:p>
            <w:r>
              <w:rPr>
                <w:b/>
                <w:bCs/>
              </w:rPr>
              <w:t xml:space="preserve">Revenue / PAT</w:t>
            </w:r>
          </w:p>
        </w:tc>
        <w:tc>
          <w:tcPr>
            <w:tcW w:type="dxa" w:w="5800"/>
          </w:tcPr>
          <w:p>
            <w:r>
              <w:t xml:space="preserve">~Rs 2,787 Cr revenue / ~Rs 73.6 Cr PAT (~2.6% net margin)</w:t>
            </w:r>
          </w:p>
        </w:tc>
      </w:tr>
      <w:tr>
        <w:tc>
          <w:tcPr>
            <w:tcW w:type="dxa" w:w="3200"/>
            <w:shd w:fill="F2F2F2" w:val="clear"/>
          </w:tcPr>
          <w:p>
            <w:r>
              <w:rPr>
                <w:b/>
                <w:bCs/>
              </w:rPr>
              <w:t xml:space="preserve">ROE / ROCE</w:t>
            </w:r>
          </w:p>
        </w:tc>
        <w:tc>
          <w:tcPr>
            <w:tcW w:type="dxa" w:w="5800"/>
          </w:tcPr>
          <w:p>
            <w:r>
              <w:t xml:space="preserve">~18.8% / ~19.1% (well above trading-sector medians)</w:t>
            </w:r>
          </w:p>
        </w:tc>
      </w:tr>
      <w:tr>
        <w:tc>
          <w:tcPr>
            <w:tcW w:type="dxa" w:w="3200"/>
            <w:shd w:fill="F2F2F2" w:val="clear"/>
          </w:tcPr>
          <w:p>
            <w:r>
              <w:rPr>
                <w:b/>
                <w:bCs/>
              </w:rPr>
              <w:t xml:space="preserve">Revenue CAGR (5-yr)</w:t>
            </w:r>
          </w:p>
        </w:tc>
        <w:tc>
          <w:tcPr>
            <w:tcW w:type="dxa" w:w="5800"/>
          </w:tcPr>
          <w:p>
            <w:r>
              <w:t xml:space="preserve">~38.9% (vs ~17% industry)</w:t>
            </w:r>
          </w:p>
        </w:tc>
      </w:tr>
      <w:tr>
        <w:tc>
          <w:tcPr>
            <w:tcW w:type="dxa" w:w="3200"/>
            <w:shd w:fill="F2F2F2" w:val="clear"/>
          </w:tcPr>
          <w:p>
            <w:r>
              <w:rPr>
                <w:b/>
                <w:bCs/>
              </w:rPr>
              <w:t xml:space="preserve">Stock P/E</w:t>
            </w:r>
          </w:p>
        </w:tc>
        <w:tc>
          <w:tcPr>
            <w:tcW w:type="dxa" w:w="5800"/>
          </w:tcPr>
          <w:p>
            <w:r>
              <w:t xml:space="preserve">~25x</w:t>
            </w:r>
          </w:p>
        </w:tc>
      </w:tr>
      <w:tr>
        <w:tc>
          <w:tcPr>
            <w:tcW w:type="dxa" w:w="3200"/>
            <w:shd w:fill="F2F2F2" w:val="clear"/>
          </w:tcPr>
          <w:p>
            <w:r>
              <w:rPr>
                <w:b/>
                <w:bCs/>
              </w:rPr>
              <w:t xml:space="preserve">Infinova India acquisition</w:t>
            </w:r>
          </w:p>
        </w:tc>
        <w:tc>
          <w:tcPr>
            <w:tcW w:type="dxa" w:w="5800"/>
          </w:tcPr>
          <w:p>
            <w:r>
              <w:t xml:space="preserve">up to USD 4m for 100% (small relative to market cap)</w:t>
            </w:r>
          </w:p>
        </w:tc>
      </w:tr>
    </w:tbl>
    <w:p>
      <w:pPr>
        <w:spacing w:after="100"/>
      </w:pPr>
    </w:p>
    <w:p>
      <w:pPr>
        <w:spacing w:after="120"/>
      </w:pPr>
      <w:r>
        <w:t xml:space="preserve">The distribution engine has compounded revenue ~39% for five years on negative working capital -- an efficient model -- but it is structurally a ~2% pass-through with no pricing power, and the thread repeatedly flags consistently poor cash flows for the group. The licensing pivot is the re-rating thesis: Honeywell and CyberPowerPC licences at 10-15% margins would transform group economics if scaled. The constraint is brand conflict -- as the thread's own participants ask, if Creative makes Honeywell speakers, does JBL still license them? That caps how many licences can be stacked. Infinova adds a genuine (if small) manufacturing leg. At ~25x earnings the stock already reflects optimism about the pivot; execution is only partly demonstrated.</w:t>
      </w:r>
    </w:p>
    <w:p>
      <w:pPr>
        <w:pStyle w:val="Heading1"/>
        <w:spacing w:after="120" w:before="280"/>
      </w:pPr>
      <w:r>
        <w:t xml:space="preserve">Technical Read (Weekly / Monthly MACD + Bollinger Bands, or RSI/CCI/Williams %R proxy)</w:t>
      </w:r>
    </w:p>
    <w:p>
      <w:pPr>
        <w:spacing w:after="120"/>
      </w:pPr>
      <w:r>
        <w:t xml:space="preserve">Not pulled. Stock near a 52-week high; described as fairly illiquid.</w:t>
      </w:r>
    </w:p>
    <w:p>
      <w:pPr>
        <w:pStyle w:val="Heading1"/>
        <w:spacing w:after="120" w:before="280"/>
      </w:pPr>
      <w:r>
        <w:t xml:space="preserve">ValuePickr Community Signal</w:t>
      </w:r>
    </w:p>
    <w:p>
      <w:pPr>
        <w:spacing w:after="120"/>
      </w:pPr>
      <w:r>
        <w:t xml:space="preserve">ValuePickr thread topic 65527 (~43 posts, all read; last activity 2025). The most active tracker is Ashar_Mann (not on the trusted roster), who is constructive -- models a path to ~Rs 1,750 Cr enterprise-business sales plus scaling Honeywell/CyberPower licensing, and argues brand execution is 'foot in the door' that attracts more licences, not fewer. Counterpoints on the thread: Dushyant_Mishra raises the brand-conflict ceiling; Connect_base and others flag persistently poor cash flows; Sanjay_Varadh notes the promoters (Ketan/Purvi Patel) hold ~3-4% in a related listed entity (DC Infotech &amp; Communication) -- an unresolved related-party question. Krupa_Patel (Sep 2025) posted a clean two-segment overview. No trusted-user coverage.</w:t>
      </w:r>
    </w:p>
    <w:p>
      <w:pPr>
        <w:spacing w:after="120"/>
      </w:pPr>
      <w:r>
        <w:rPr>
          <w:b/>
          <w:bCs/>
          <w:sz w:val="20"/>
          <w:szCs w:val="20"/>
        </w:rPr>
        <w:t xml:space="preserve">High-conviction call from a top contributor: </w:t>
      </w:r>
      <w:r>
        <w:rPr>
          <w:sz w:val="20"/>
          <w:szCs w:val="20"/>
        </w:rPr>
        <w:t xml:space="preserve">Retail-constructive but no trusted (elevated/core) participation and no trusted buy conviction. Net-neutral trusted signal.</w:t>
      </w:r>
    </w:p>
    <w:p>
      <w:pPr>
        <w:pStyle w:val="Heading1"/>
        <w:spacing w:after="120" w:before="280"/>
      </w:pPr>
      <w:r>
        <w:t xml:space="preserve">BSE Corporate Actions / Other Red Flags</w:t>
      </w:r>
    </w:p>
    <w:p>
      <w:pPr>
        <w:spacing w:after="120"/>
      </w:pPr>
      <w:r>
        <w:t xml:space="preserve">Jul 2026 board approval to acquire 100% of Infinova (India) for up to USD 4m. Governance watch-item (unresolved on the thread): promoter family holds ~3-4% in DC Infotech &amp; Communication Ltd, a separate listed company in an adjacent business. Illiquid trading. No corporate-action red flags identified.</w:t>
      </w:r>
    </w:p>
    <w:p>
      <w:pPr>
        <w:pStyle w:val="Heading1"/>
        <w:spacing w:after="120" w:before="280"/>
      </w:pPr>
      <w:r>
        <w:t xml:space="preserve">Bull Case</w:t>
      </w:r>
    </w:p>
    <w:p>
      <w:pPr>
        <w:pStyle w:val="ListParagraph"/>
        <w:numPr>
          <w:ilvl w:val="0"/>
          <w:numId w:val="1"/>
        </w:numPr>
        <w:spacing w:after="60"/>
      </w:pPr>
      <w:r>
        <w:t xml:space="preserve">Distribution business has compounded revenue ~39% for 5 years on negative working capital, ROCE ~20%</w:t>
      </w:r>
    </w:p>
    <w:p>
      <w:pPr>
        <w:pStyle w:val="ListParagraph"/>
        <w:numPr>
          <w:ilvl w:val="0"/>
          <w:numId w:val="1"/>
        </w:numPr>
        <w:spacing w:after="60"/>
      </w:pPr>
      <w:r>
        <w:t xml:space="preserve">Licensing pivot (Honeywell, CyberPowerPC) at 10-15% margins is a genuine mix-up-shift optionality, partly via a low-tax HK subsidiary</w:t>
      </w:r>
    </w:p>
    <w:p>
      <w:pPr>
        <w:pStyle w:val="ListParagraph"/>
        <w:numPr>
          <w:ilvl w:val="0"/>
          <w:numId w:val="1"/>
        </w:numPr>
        <w:spacing w:after="60"/>
      </w:pPr>
      <w:r>
        <w:t xml:space="preserve">Infinova India acquisition adds a real surveillance-manufacturing leg and a 'Make in India' angle with a public-project record</w:t>
      </w:r>
    </w:p>
    <w:p>
      <w:pPr>
        <w:pStyle w:val="ListParagraph"/>
        <w:numPr>
          <w:ilvl w:val="0"/>
          <w:numId w:val="1"/>
        </w:numPr>
        <w:spacing w:after="60"/>
      </w:pPr>
      <w:r>
        <w:t xml:space="preserve">Above-sector returns and a supportive Indian consumer-electronics backdrop</w:t>
      </w:r>
    </w:p>
    <w:p>
      <w:pPr>
        <w:pStyle w:val="Heading1"/>
        <w:spacing w:after="120" w:before="280"/>
      </w:pPr>
      <w:r>
        <w:t xml:space="preserve">Bear Case / Key Risks</w:t>
      </w:r>
    </w:p>
    <w:p>
      <w:pPr>
        <w:pStyle w:val="ListParagraph"/>
        <w:numPr>
          <w:ilvl w:val="0"/>
          <w:numId w:val="1"/>
        </w:numPr>
        <w:spacing w:after="60"/>
      </w:pPr>
      <w:r>
        <w:t xml:space="preserve">Core distribution is a ~2% pass-through with no pricing power; group cash flows have been consistently weak</w:t>
      </w:r>
    </w:p>
    <w:p>
      <w:pPr>
        <w:pStyle w:val="ListParagraph"/>
        <w:numPr>
          <w:ilvl w:val="0"/>
          <w:numId w:val="1"/>
        </w:numPr>
        <w:spacing w:after="60"/>
      </w:pPr>
      <w:r>
        <w:t xml:space="preserve">Brand conflict structurally caps how many manufacture-and-sell licences can be stacked</w:t>
      </w:r>
    </w:p>
    <w:p>
      <w:pPr>
        <w:pStyle w:val="ListParagraph"/>
        <w:numPr>
          <w:ilvl w:val="0"/>
          <w:numId w:val="1"/>
        </w:numPr>
        <w:spacing w:after="60"/>
      </w:pPr>
      <w:r>
        <w:t xml:space="preserve">~25x earnings already prices a successful pivot; licensing scale is only partly demonstrated</w:t>
      </w:r>
    </w:p>
    <w:p>
      <w:pPr>
        <w:pStyle w:val="ListParagraph"/>
        <w:numPr>
          <w:ilvl w:val="0"/>
          <w:numId w:val="1"/>
        </w:numPr>
        <w:spacing w:after="60"/>
      </w:pPr>
      <w:r>
        <w:t xml:space="preserve">Illiquid; unresolved related-party question (promoter stake in DC Infotech)</w:t>
      </w:r>
    </w:p>
    <w:p>
      <w:pPr>
        <w:pStyle w:val="ListParagraph"/>
        <w:numPr>
          <w:ilvl w:val="0"/>
          <w:numId w:val="1"/>
        </w:numPr>
        <w:spacing w:after="60"/>
      </w:pPr>
      <w:r>
        <w:t xml:space="preserve">Untrusted X-triage origination; no trusted-user validation</w:t>
      </w:r>
    </w:p>
    <w:p>
      <w:pPr>
        <w:pStyle w:val="Heading1"/>
        <w:spacing w:after="120" w:before="280"/>
      </w:pPr>
      <w:r>
        <w:t xml:space="preserve">Market-Cap Tier (informational — not a gate in this project)</w:t>
      </w:r>
    </w:p>
    <w:p>
      <w:pPr>
        <w:spacing w:after="120"/>
      </w:pPr>
      <w:r>
        <w:rPr>
          <w:b/>
          <w:bCs/>
        </w:rPr>
        <w:t xml:space="preserve">Small-cap (~Rs 1,836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weak · moat: no · valuation: no  (score 1.5 / 4)</w:t>
      </w:r>
    </w:p>
    <w:p>
      <w:pPr>
        <w:spacing w:after="120"/>
      </w:pPr>
      <w:r>
        <w:rPr>
          <w:i/>
          <w:iCs/>
          <w:color w:val="666666"/>
          <w:sz w:val="20"/>
          <w:szCs w:val="20"/>
        </w:rPr>
        <w:t xml:space="preserve">tailwind=weak (India consumer-electronics demand, no accelerant). tam=weak (huge end-market but thin captured slice; licensing capped by brand conflict). moat=no (structural low-moat distribution; licences contractual/non-exclusive). valuation=no (~25x on 2.6% net margin, pivot only partly proven). Score 1.5 -&gt; neither, hard.</w:t>
      </w:r>
    </w:p>
    <w:p>
      <w:pPr>
        <w:pStyle w:val="Heading1"/>
        <w:spacing w:after="120" w:before="280"/>
      </w:pPr>
      <w:r>
        <w:t xml:space="preserve">Verdict</w:t>
      </w:r>
    </w:p>
    <w:p>
      <w:pPr>
        <w:spacing w:after="120"/>
      </w:pPr>
      <w:r>
        <w:rPr>
          <w:b/>
          <w:bCs/>
          <w:sz w:val="24"/>
          <w:szCs w:val="24"/>
        </w:rPr>
        <w:t xml:space="preserve">A genuine distributor-to-licensing pivot with real optionality, but ~2% base-business economics, a brand-conflict ceiling and a ~25x multiple keep it out of the multi-bagger bucket -- 'neither', conviction Low-Medium</w:t>
      </w:r>
    </w:p>
    <w:p>
      <w:pPr>
        <w:pStyle w:val="ListParagraph"/>
        <w:numPr>
          <w:ilvl w:val="0"/>
          <w:numId w:val="1"/>
        </w:numPr>
        <w:spacing w:after="60"/>
      </w:pPr>
      <w:r>
        <w:t xml:space="preserve">No live-theme match -- IT-hardware distribution / brand licensing is not on the active-themes list (the memory-shortage distributor theme is about DRAM/SSD components, not this); recency/lead pass.</w:t>
      </w:r>
    </w:p>
    <w:p>
      <w:pPr>
        <w:pStyle w:val="ListParagraph"/>
        <w:numPr>
          <w:ilvl w:val="0"/>
          <w:numId w:val="1"/>
        </w:numPr>
        <w:spacing w:after="60"/>
      </w:pPr>
      <w:r>
        <w:t xml:space="preserve">four_box score 1.5 -&gt; 'neither' (hard). tailwind weak (India consumer-electronics growth, nothing accelerating), tam weak (large end-market but the company captures a thin slice; licensing capped by brand conflict), moat no (distributors are structurally low-moat; licences are contractual and non-exclusive over time), valuation no (~25x for a 2.6%-margin distributor with an unproven pivot). Score 1.5 -&gt; neither.</w:t>
      </w:r>
    </w:p>
    <w:p>
      <w:pPr>
        <w:pStyle w:val="ListParagraph"/>
        <w:numPr>
          <w:ilvl w:val="0"/>
          <w:numId w:val="1"/>
        </w:numPr>
        <w:spacing w:after="60"/>
      </w:pPr>
      <w:r>
        <w:t xml:space="preserve">Conviction Low-Medium: the licensing + Infinova optionality is real and the base business is efficiently run, so it is worth tracking, but there is no trusted conviction and the multiple leaves no margin of safety. Not marked revisit_after_30d (thesis 'neither'); re-check on FY27 results for licensing-segment revenue/margin scale and Infinova integration.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2026-09-09T13:51:42.105Z</dcterms:created>
  <dcterms:modified xsi:type="dcterms:W3CDTF">2026-09-09T13:51:42.106Z</dcterms:modified>
</cp:coreProperties>
</file>

<file path=docProps/custom.xml><?xml version="1.0" encoding="utf-8"?>
<Properties xmlns="http://schemas.openxmlformats.org/officeDocument/2006/custom-properties" xmlns:vt="http://schemas.openxmlformats.org/officeDocument/2006/docPropsVTypes"/>
</file>