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Cryogenic OGS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~530 Cr BSE-SME maker of cryogenic and flow / measurement equipment for oil &amp; gas, LNG and industrial gases -- ROCE ~29%, debt-free, ADNOC/EIL empanelled, 4x capacity expansion plus railway &amp; defence diversification -- but a ~Rs 40 Cr revenue base at ~13x sales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Cryogenic OGS (BSE SME: 544440) designs and builds cryogenic storage / transfer systems, loading arms, flow-measurement and metering skids and allied engineered equipment for oil &amp; gas, LNG, city-gas and industrial-gas customers, with stated empanelment with ADNOC and Engineers India (EIL) and a diversification push into railway and defence applications.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531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40 Cr (recent ~Rs 40.8 Cr, +24% YoY); ~12% revenue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~24.4% / ~28.9%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52-wk range</w:t>
            </w:r>
          </w:p>
        </w:tc>
        <w:tc>
          <w:tcPr>
            <w:tcW w:type="dxa" w:w="5800"/>
          </w:tcPr>
          <w:p>
            <w:r>
              <w:t xml:space="preserve">Rs ~255 - 265 (narrow; recent listing / low float)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~13x sales; rich single-digit-hundreds Cr mcap on ~Rs 40 Cr revenue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are strong and the balance sheet is clean, and cryogenic / LNG-handling equipment sits on a real multi-year infrastructure theme (city-gas, LNG terminals, industrial gases, and the newly-added upstream oilfield-services demand vector). ADNOC / EIL empanelment is a modest barrier to entry. But revenue is only ~Rs 40 Cr, so the ~Rs 530 Cr mcap capitalises a very small business at ~13x sales, and the 4x capacity expansion plus railway / defence diversification is optionality that is entirely unproven in the P&amp;L. Order-book and execution disclosure is thin.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recent SME listing, narrow trading range, low float.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(category 11/14/17 search returned nothing) -- topic_slug null; research is web / filing 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Newly listed BSE SME; low float and narrow price range. Standard micro-cap governance / liquidity caveats. No adverse corporate-action history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~29%, debt-free, ~24% recent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Cryogenic / LNG / industrial-gas handling equipment on a genuine multi-year infra tailwind; ADNOC / EIL empanelment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4x capacity expansion plus railway and defence diversification as concrete catalysts if they convert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40 Cr revenue base; ~Rs 530 Cr mcap = ~13x sales for a micro-cap engineering job-shop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4x ahead of demonstrated order flow -- over-build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engineered-equipment business with lumpy orders and limited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order-book / execution disclosure; recent SME listing, low float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community or trusted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531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(LNG / city-gas / industrial-gas infra is real but not a sharp accelerating pull for this niche). tam=weak (small engineered-equipment niche, ~Rs 530 Cr mcap already). moat=weak (ADNOC / EIL empanelment is a modest barrier; otherwise lumpy job-shop). valuation=no (~13x sales on a ~Rs 40 Cr revenue base).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Clean, high-ROCE niche cryo-equipment maker on a real theme, but ~13x sales on a ~Rs 40 Cr base with unproven expansion -- 'neither',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Directional theme relevance -- 'oilfield services / drilling &amp; exploration capex' (priority-2, added 2026-09-09) and LNG / city-gas infra -- but processed as an external lead, not a discovery theme hit; the exposure is to LNG / industrial-gas handling rather than upstream drilling per 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'neither' (hard). tailwind weak (real LNG / industrial-gas infra pull but not sharply accelerating for this niche), tam weak (small engineered-equipment niche, ~Rs 530 Cr mcap already), moat weak (ADNOC / EIL pre-qualification is a modest barrier; otherwise lumpy job-shop), valuation no (~13x sales on ~Rs 40 Cr revenue). The 4x-capacity catalyst is noted as unconfirmed and does not lift a 1.5 score.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a notch above Low for the debt-free balance sheet, ~29% ROCE, pre-qualifications and a concrete capacity catalyst; capped by valuation, size, order-book opacity and the untrusted source. Re-check once expanded capacity and any railway / defence orders show up in reported revenue.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2026-09-09T14:07:12.807Z</dcterms:created>
  <dcterms:modified xsi:type="dcterms:W3CDTF">2026-09-09T14:07:12.808Z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