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Devson Catalyst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Exceptional pre-IPO returns (ROCE ~48%) in an industrial-catalysts niche, but listed only July 2026 with zero public quarters and SME liquidity — 10x frame, Low conviction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Devson Catalyst (BSE SME, 544823) is an ISO-certified manufacturer of catalysts, adsorbents and ceramic balls used in oil &amp; gas, petrochemical, steel, fertiliser and other industrial process industries, with ~63% domestic / ~37% export revenue. IPO opened 9 July 2026, listed 16 July 2026. No ValuePickr thread yet; web/news + old-project baseline only.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275-373 Cr (BSE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~43-46% / ~47.6% (pre-IPO)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~0.07 (almost debt-free)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mix</w:t>
            </w:r>
          </w:p>
        </w:tc>
        <w:tc>
          <w:tcPr>
            <w:tcW w:type="dxa" w:w="5800"/>
          </w:tcPr>
          <w:p>
            <w:r>
              <w:t xml:space="preserve">~62.7% domestic / ~37.3% export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Public history</w:t>
            </w:r>
          </w:p>
        </w:tc>
        <w:tc>
          <w:tcPr>
            <w:tcW w:type="dxa" w:w="5800"/>
          </w:tcPr>
          <w:p>
            <w:r>
              <w:t xml:space="preserve">Listed 16 July 2026 — no public quarterly results yet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Pre-IPO fundamentals are outstanding: ROCE ~48%, ROE in the mid-40s, almost debt-free, in a real industrial-process-catalysts niche with export traction. But the company has been public for only weeks, there is no public quarterly track record, the offering flagged customer-concentration risk, and BSE-SME liquidity limits position sizing.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352 · 39.1x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~39x on Rs13cr PAT needs ~35%+ EPS CAGR FY26-28 against a ~25x SME-catalyst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+25-30% (catalyst import-substitution + 15-country exports), OPM held ~28-30%, PAT +30%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on IPO-funded capacity addition; working-capital discipline the swing factor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high-ROCE import-substitution catalyst maker growing ~20-25%; 39x P/E prices continued 30%+ compounding while debtor/working-capital days are deteriorating sharply.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57%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insufficient trading history since the 16 July 2026 listing.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found (one rate-limited forum search returned no match). Web-only write-up based on IPO disclosures and screener data. Old 108-stock project (2026-08-15, frozen) rated it Tier B: 'fundamentally sound but too new and too illiquid to size a real position with confidence yet.'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ValuePickr community coverage; no trusted-roster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BSE-SME IPO July 2026 (opened 9 July, listed 16 July). Customer-concentration risk disclosed in the offer. Not independently verified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pre-IPO capital efficiency (ROCE ~48%, ROE ~45%), almost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industrial-process niche (catalysts, adsorbents, ceramic balls) with a ~37% export 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(~Rs 275-373 Cr) — real headroom if the returns profile persists post-listing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Listed only mid-July 2026 — zero public quarterly results to confirm the pre-IPO numbers hold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BSE-SME liquidity is a hard constraint on building or exiting a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Customer-concentration risk explicitly flagged in the offer document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community scrutiny yet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SME-platform (~Rs 275-373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Listed July 2026 with no public quarters per verdict; ROCE~48% suggests returns but niche/driver undetailed; customer concentration disclosed.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Outstanding pre-IPO returns in a real niche keep it in the 10x frame, but no public track record and SME liquidity hold conviction to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~48% and a genuine industrial-catalysts niche at a ~Rs 275-373 Cr base support a 10x-in-2-3-years framing on fundamentals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Low: listed only July 2026 with no public quarters, disclosed customer concentration, and BSE-SME liquidity — the reversal/continuation is genuinely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rated it Tier B; re-derived under the open-screen thesis it fits the 10x frame but is 'too new to size,' unchanged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2026-09-09T18:15:33.095Z</dcterms:created>
  <dcterms:modified xsi:type="dcterms:W3CDTF">2026-09-09T18:15:33.096Z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