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Divgi TorqTransfer Systems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transmission-systems maker with a fresh export catalyst (Indonesia 4WD win) and an EV-transmission option — but sub-cost-of-capital returns today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Divgi TorqTransfer makes automotive transmission systems — transfer cases, torque couplers, manual/automatic transmission components — and is India's largest EV-transmission (e-axle/reduction gearbox) manufacturer. Customers are Indian OEMs (4WD/AWD SUVs, EVs), with a stated ambition to use India as a low-cost export springboard.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3,594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375 Cr, +56%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~10.2% / ~7.6% (below cost of capital)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570 - 1,319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Revenue grew ~56% YoY in FY26 off a small base, but ROCE ~10% and ROE ~8% are still below a sensible cost of capital — the business earns thin returns while it scales EV-transmission capacity and new programs. Debt is negligible. The recent concall passage highlighted on X describes an Indonesia 4WD tender win where India beat Japan/Indonesia/Thailand on cost, with &gt;50% of that revenue recurring, framed as proof of an export model. No VP forum thread exists for the stock, so this is a web/news-only read.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1150 · 55.8x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~56x trailing needs ~35-40% EPS CAGR FY26-28 (EV-transmission ramp) against a ~25-30x auto-tech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+25-35% on EV transfer-case / DCT programme ramp, OPM ~20-22%, PAT +40%+ off a low FY25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new OEM EV platforms; order-book execution dependent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FY26 revenue rebounded +61% after a 3-yr decline; 56x P/E prices a sustained EV-transmission ramp with only one strong quarter of evidence and ROCE not yet back to the FY21-22 15-20% level.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Automotive driveline / transmission systems, incl. EV e-axle transmissions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transmission-systems supplier to Indian OEMs; niche global cost-competitive exporter (4WD transfer cases)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Transmission design IP + machining/assembly capacity qualified to OEM programs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Sona BLW (Sona Comstar), Divgi's global peers (BorgWarner, GKN), ZF (transfer cases)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EV-transmission is a genuine adjacency but a contested one — Sona Comstar is far larger and better capitalised; Divgi's edge is 4WD transfer-case cost competitiveness.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10%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6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FY20-FY25: rev growth &gt;=10% AND ROCE &gt;=15% both cleared in 2 of 6 (FY21 18%/20%, FY22 25%/15%). FY23-25 fell away (ROCE 10%/6%/10%, sales down FY24-25 on customer-programme lulls). FY26 rebounded +61% but ROCE not yet displayed/restored.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Stock is well off its 52-week high (~Rs 1,319) toward ~Rs 1,175.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found (forum search returned no match) — web/news-only. Coverage centres on the EV-transmission leadership claim, the ~56% FY26 growth, and the Indonesia 4WD export win as the marginal catalyst.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X trigger: @LearningEleven (non-roster) posted a detailed positive concall passage on the Indonesia win and export springboard. Vetted tip, informational only — no conviction floor, and no VP corroboration available.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India's largest EV-transmission manufacturer — direct optionality on domestic EV/4WD-SUV volume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Indonesia 4WD tender win (India beating Japan/Thailand on cost), &gt;50% recurring — first concrete external-export proof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revenue base (~Rs 375 Cr) growing ~56% YoY; debt-free, so growth is self/equity funded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~10% / ROE ~8% — still below cost of capital; the quality gate is not cleanly cleared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on a few Indian OEM platforms; EV-transmission economics for the industry are still unproven at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Rich opttical valuation (~10x sales) for a thin-margin components business; no VP thread means less independent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 export win does not yet establish a durable, diversified export franchise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3,594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value_chain notes EV-transmission adjacency is 'contested' since Sona Comstar is far larger/better capitalised (moat weak); capital efficiency (ROCE/ROE) unproven; no tam/valuation detail.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Small-cap with a genuine recent inflection and export catalyst — LOW conviction, unconfirmed, returns still sub-par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(~Rs 3,594 Cr) with a weak multi-year return profile but a strong, specific recent-quarter improvement (+56% FY26) plus a concrete catalyst (Indonesia 4WD export win) — fits '10x-in-2-3-years' at LOW conviction with an explicit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signal (@LearningEleven, non-roster, x_conviction 'high') is informational only — no conviction floor; and there is no VP thread to corroborate, which itself argues for caution.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binding issue is capital efficiency: until ROCE/ROE clear the cost of capital, this is a scaling story with unproven unit economics.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2026-09-09T18:15:33.167Z</dcterms:created>
  <dcterms:modified xsi:type="dcterms:W3CDTF">2026-09-09T18:15:33.167Z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