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Dolphin Offshore Enterprises (India)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small post-insolvency offshore subsea/diving-services revival - promoter holding rebuilt to ~75% and a swing back to reported profit - but the profit looks non-operational, debtor days are ~729, and the ValuePickr thread has been dead since 2015.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Offshore support services to the oil &amp; gas industry: air/saturation diving, inspection-repair-maintenance (IRM) of subsea assets and platforms, and turnkey sub-sea / marine EPC, historically for ONGC-type operators. Founded 1979 by an ex-naval officer. Went through a distressed period and is now being revived. Seeded via theme-scan 2026-09-09 (user-authorised 1x no-self-discovery bypass), oilfield-services theme.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Small-cap; screener consolidated shows a wide range - treat as sub-Rs 1,000 Cr on the revived base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</w:t>
            </w:r>
          </w:p>
        </w:tc>
        <w:tc>
          <w:tcPr>
            <w:tcW w:type="dxa" w:w="5800"/>
          </w:tcPr>
          <w:p>
            <w:r>
              <w:t xml:space="preserve">Revenue ~Rs 143 Cr, reported PAT ~Rs 72 Cr (a ~50% net margin that is almost certainly non-operational)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Negative on the trailing consolidated screener view (-3.5% / -4.6%); lags the revival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~75%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Working capital</w:t>
            </w:r>
          </w:p>
        </w:tc>
        <w:tc>
          <w:tcPr>
            <w:tcW w:type="dxa" w:w="5800"/>
          </w:tcPr>
          <w:p>
            <w:r>
              <w:t xml:space="preserve">Debtor days ~729 - extreme; collection quality a serious 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~32, P/B ~6.3 on the reported (likely inflated) earnings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There is a real demand backdrop - ONGC brownfield IRM and subsea campaigns are picking up - and a genuine corporate revival (promoter stake rebuilt to ~75%). But the quality signals are poor: a ~50% net margin on ~Rs 143 Cr of revenue is not an operating outcome (more likely an exceptional gain / write-back / tax credit from carried-forward losses), ~729 debtor days points to either aggressive revenue recognition or a captive-counterparty collection problem, and the trailing consolidated returns are still negative. P/B ~6.3 on those earnings is expensive.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Made a 52-week high in Aug 2026 on the revival narrative; not pulled in detail - not a Tier-A candidate.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topic 1387 - effectively dead: 4 posts, all from May 2015, the last one flagging promoter share pledging (~33% of promoter holding then). No recent forum discussion at all. Assessment is therefore web/filing-led.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- no trusted-user activity, no live thread.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active SEBI/fraud action found. Historical promoter pledging (2015) and a distressed past; promoter holding has since been rebuilt to ~75%. The reported profit's composition (operating vs exceptional) should be confirmed from the actual filing before it is given any weight.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ONGC brownfield IRM / subsea campaign activity is rising - a real demand tailwind for diving &amp; subsea services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rebuilt to ~75% signals commitment to the revival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Niche capability (saturation diving, subsea IRM) with a long operating heritage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Reported ~50% net margin on ~Rs 143 Cr revenue is not operational - earnings quality is the central concern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~729 debtor days - either revenue-recognition aggression or a severe collection problem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 consolidated ROCE/ROE still negative; P/B ~6.3 on inflated earnings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Commoditised diving/IRM services, tender-driven, no pricing power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Dead forum coverage - no external scrutiny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no · valuation: no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moat no (commoditised tender services, ~729 debtor days = no collection/pricing power); valuation no (P/B ~6.3, P/E ~32 on likely-exceptional earnings); tailwind/tam weak - the ONGC subsea demand uptick is real but Dolphin is sub-scale and the niche is small.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real offshore-services demand backdrop and a genuine promoter-led revival, undermined by a non-operational-looking ~50% net margin, ~729 debtor days and negative trailing returns.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four_box: tailwind weak (ONGC brownfield IRM/subsea activity is rising, but Dolphin is a sub-scale participant), tam weak (small subsea/diving-services niche; a revived micro-operator's runway is limited), moat no (commoditised tender-driven services, and ~729 debtor days shows zero pricing or collection power), valuation no (P/B ~6.3 and P/E ~32 on earnings that look non-operational, negative trailing ROCE) -&gt; score 1.0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&lt;= 1.5 -&gt; thesis_fit 'neither', hard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live-inflection carve-out is not invoked: the 'inflection' here is a single reported profit whose composition looks exceptional, not a clean operating quarter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Low: revival + tailwind keep it off zero, but earnings quality and receivables dominate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Seeded via oilfield-services theme (external lead, user-authorised bypass)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tier (no active SEBI/fraud; promoter holding ~75%) - but the earnings-quality and debtor-days concerns are named here and would need to clear before any re-rating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Re-check trigger: an actual filing confirming operating (not exceptional) profit, and debtor days falling toward normal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2026-09-10T03:29:27.346Z</dcterms:created>
  <dcterms:modified xsi:type="dcterms:W3CDTF">2026-09-10T03:29:27.347Z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