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 to E Transportation Infrastructure Ltd (e2E Rail)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 Emerge-listed rail signalling/telecom integrator pivoting toward OEM-grade Kavach train-protection products via its Nova Control subsidiary -- a genuine national-mandate tailwind, but a brand-new (freshly listed Jan-2026) single-post thread, unproven margin thesis, decelerating profit growth, and an independent-director/promoter-structure governance flag from outside sources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Independent director with a disclosed history of SEBI proceedings, and an unusual FY24 corporate-promoter stake-acquisition structure (two corporate promoters holding ~44.77% combined) flagged by outside commentary as worth scrutiny -- unresolved, not addressed in the (single-post, zero-scrutiny) ValuePickr thread.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e2E Rail is a railway system integrator specialising in signalling, telecommunications, overhead electrification, and turnkey rail engineering (public: Indian Railways/metro corporations; private: Tata Steel, Adani, Siemens, Alstom). It listed on NSE Emerge on 2-Jan-2026. The core investment thesis is a shift from a low-margin systems-integrator model to a higher-margin OEM/product model via its subsidiary Nova Control Technologies (which has a co-development tie-up with Tata Elxsi), targeting in-house manufacture of Kavach and other Train Protection System hardware rather than relying on third-party product suppliers.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600-647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Rs 379.99 Cr (+51.5%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(FY26)</w:t>
            </w:r>
          </w:p>
        </w:tc>
        <w:tc>
          <w:tcPr>
            <w:tcW w:type="dxa" w:w="5800"/>
          </w:tcPr>
          <w:p>
            <w:r>
              <w:t xml:space="preserve">Rs 16.76 Cr (+19.7% YoY, decelerating from +35.9%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3-yr CAGR</w:t>
            </w:r>
          </w:p>
        </w:tc>
        <w:tc>
          <w:tcPr>
            <w:tcW w:type="dxa" w:w="5800"/>
          </w:tcPr>
          <w:p>
            <w:r>
              <w:t xml:space="preserve">~41%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~10.0% FY26 (down from ~11.5%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~10.4%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Debt-to-Equity</w:t>
            </w:r>
          </w:p>
        </w:tc>
        <w:tc>
          <w:tcPr>
            <w:tcW w:type="dxa" w:w="5800"/>
          </w:tcPr>
          <w:p>
            <w:r>
              <w:t xml:space="preserve">~0.9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~36x / ~3x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~32.5% (two corporate promoters, ~44.77% combined incl. Mukul Agrawal ~14% and VC backers)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top-line growth (revenue +51.5% YoY, 3-yr CAGR ~41%) but profit growth is decelerating sharply (PAT +35.9% FY25 -&gt; +19.7% FY26) while EBITDA margin actually compressed slightly (11.5% -&gt; 10.0%) -- the opposite of what the stated OEM-margin-expansion thesis requires to play out. D/E of ~0.9 is moderate leverage for a government-capex-dependent business, and the stock already trades at ~36x P/E / ~3x P/B, pricing in optimism the numbers have not yet delivered.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freshly listed (Jan-2026), thin trading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Brand-new ValuePickr thread, exactly 1 post (created 2026-09-11, the day of this run). No community discussion, no trusted-user engagement, no track record to judge.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sole post is from a non-trusted, self-disclosed 'invested and biased' poster (Harish_H) presenting the bull case. No independent or trusted-user corroboration exists yet.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Recently disclosed order inflows of ~Rs 134.41 Cr (Oct-2025 to Jan-2026) around the IPO filing window; separately reported a Rs 35.24 Cr railway contract win. Company has stated it created no share encumbrances/pledges in FY26.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accelerating national tailwind: the Kavach train-collision-avoidance mandate is a government safety directive with multi-year rollout across zonal railways, metro, and private sidings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Differentiated positioning attempt -- bridging systems-integration and in-house OEM product manufacture (via Nova Control + Tata Elxsi co-development) where most peers (HBL Power, Kernex, Medha) specialise in one or the other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revenue growth (+51.5% YoY, 41% 3-yr CAGR) and a credible institutional backer (Mukul Agrawal ~14% stake)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is decelerating (35.9% -&gt; 19.7% YoY) and EBITDA margin actually compressed slightly in FY26 -- the core 'shift to higher-margin OEM' thesis has not yet shown up in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Kavach/OEM product thesis depends entirely on Nova Control securing certifications and approvals that are not yet confirmed -- named explicitly as a risk by the (biased) OP itself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Already-rich valuation (~36x P/E, ~3x P/B) for decelerating profit growth and a single-post, zero-track-record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dependence on Indian Railways/government capex timing and stretched receivables typical of government-facing contractors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governance flags not sourced from the thread: an independent director with a history of SEBI proceedings, and two corporate promoters (collectively ~44.77%) whose FY24 stake-acquisition structure was flagged by outside commentary as unusual -- unresolved and not addressed anywhere in the (single-post) community discussion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600-650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Kavach-mandate tailwind and a differentiated integrator-to-OEM pitch, but decelerating profit growth, rich valuation, zero community track record, and an unresolved governance flag on the promoter/independent-director structure -- HIGH CAUTION,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keyword match in active_themes.json (rail signalling/Kavach is not a listed theme); recency/forum-discovery pass with no theme boost. Genuinely strong sector-level tailwind regardless (national safety mandate).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triggered by external (non-thread) findings: an independent director with a disclosed history of SEBI proceedings, and an unusual FY24 corporate-promoter stake-acquisition structure flagged by outside commentary -- neither confirmed as fraud nor an active SEBI action against the company itself, but unresolved and worth a governance caveat given the company is freshly listed with essentially no public track record. Per the four_box gate, a red flag skips the four_box exercise -- thesis_fit set to 'neither' hard, four_box left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Low-Medium by rule; set to Low given the combination of a single-post thread with zero community scrutiny, decelerating (not accelerating) profit growth despite the stated margin-expansion thesis, and an already-rich valuation pricing in optimism ahead of any confirmation.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escalated to AVOID/EXCLUDE: no confirmed SEBI action or fraud finding against the company itself, and no negative-net-worth/going-concern signal. Revisit once the thread develops community scrutiny and/or Nova Control's Kavach product certification status becomes clearer.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2026-09-11T16:14:35.669Z</dcterms:created>
  <dcterms:modified xsi:type="dcterms:W3CDTF">2026-09-11T16:14:35.673Z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