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 to E Transportation Infrastructure Ltd</w:t>
      </w:r>
    </w:p>
    <w:p>
      <w:pPr>
        <w:pBdr>
          <w:bottom w:val="single" w:color="CCCCCC" w:sz="6" w:space="8"/>
        </w:pBdr>
        <w:spacing w:after="200"/>
      </w:pPr>
      <w:r>
        <w:rPr>
          <w:i/>
          <w:iCs/>
          <w:color w:val="666666"/>
          <w:sz w:val="22"/>
          <w:szCs w:val="22"/>
        </w:rPr>
        <w:t xml:space="preserve">Rs ~650 Cr NSE-SME railway signalling / telecom / electrification turnkey EPC -- FY25 revenue Rs 254 Cr (+47%) but swung to a Rs ~7.5 Cr loss in H1-FY26 with 220 debtor days; asset-light turnkey model with lumpy execution and heavy working capital</w:t>
      </w:r>
    </w:p>
    <w:p>
      <w:pPr>
        <w:pStyle w:val="Heading1"/>
        <w:spacing w:after="120" w:before="280"/>
      </w:pPr>
      <w:r>
        <w:t xml:space="preserve">Business Overview</w:t>
      </w:r>
    </w:p>
    <w:p>
      <w:pPr>
        <w:spacing w:after="120"/>
      </w:pPr>
      <w:r>
        <w:t xml:space="preserve">E to E Transportation Infrastructure (NSE SME: E2ERAIL) does design, supply, installation, testing and commissioning of signalling, telecom, electrification and turnkey railway projects for Indian Railways, PSUs and private clients across mainline, urban transit and private sidings, on an asset-light turnkey model with in-house engineering and selective outsourcing of execution. It is also pitching a proprietary 'Railway Intelligence Platform'.</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647 Cr (micro-cap)</w:t>
            </w:r>
          </w:p>
        </w:tc>
      </w:tr>
      <w:tr>
        <w:tc>
          <w:tcPr>
            <w:tcW w:type="dxa" w:w="3200"/>
            <w:shd w:fill="F2F2F2" w:val="clear"/>
          </w:tcPr>
          <w:p>
            <w:r>
              <w:rPr>
                <w:b/>
                <w:bCs/>
              </w:rPr>
              <w:t xml:space="preserve">Revenue</w:t>
            </w:r>
          </w:p>
        </w:tc>
        <w:tc>
          <w:tcPr>
            <w:tcW w:type="dxa" w:w="5800"/>
          </w:tcPr>
          <w:p>
            <w:r>
              <w:t xml:space="preserve">Rs 253.8 Cr FY25 (+47% from Rs 172.5 Cr FY24)</w:t>
            </w:r>
          </w:p>
        </w:tc>
      </w:tr>
      <w:tr>
        <w:tc>
          <w:tcPr>
            <w:tcW w:type="dxa" w:w="3200"/>
            <w:shd w:fill="F2F2F2" w:val="clear"/>
          </w:tcPr>
          <w:p>
            <w:r>
              <w:rPr>
                <w:b/>
                <w:bCs/>
              </w:rPr>
              <w:t xml:space="preserve">Profit</w:t>
            </w:r>
          </w:p>
        </w:tc>
        <w:tc>
          <w:tcPr>
            <w:tcW w:type="dxa" w:w="5800"/>
          </w:tcPr>
          <w:p>
            <w:r>
              <w:t xml:space="preserve">Rs 14.0 Cr FY25 -&gt; LOSS of Rs 7.5 Cr H1-FY26</w:t>
            </w:r>
          </w:p>
        </w:tc>
      </w:tr>
      <w:tr>
        <w:tc>
          <w:tcPr>
            <w:tcW w:type="dxa" w:w="3200"/>
            <w:shd w:fill="F2F2F2" w:val="clear"/>
          </w:tcPr>
          <w:p>
            <w:r>
              <w:rPr>
                <w:b/>
                <w:bCs/>
              </w:rPr>
              <w:t xml:space="preserve">ROE (3-yr) / ROCE</w:t>
            </w:r>
          </w:p>
        </w:tc>
        <w:tc>
          <w:tcPr>
            <w:tcW w:type="dxa" w:w="5800"/>
          </w:tcPr>
          <w:p>
            <w:r>
              <w:t xml:space="preserve">~13% / ~15.7%</w:t>
            </w:r>
          </w:p>
        </w:tc>
      </w:tr>
      <w:tr>
        <w:tc>
          <w:tcPr>
            <w:tcW w:type="dxa" w:w="3200"/>
            <w:shd w:fill="F2F2F2" w:val="clear"/>
          </w:tcPr>
          <w:p>
            <w:r>
              <w:rPr>
                <w:b/>
                <w:bCs/>
              </w:rPr>
              <w:t xml:space="preserve">Working capital</w:t>
            </w:r>
          </w:p>
        </w:tc>
        <w:tc>
          <w:tcPr>
            <w:tcW w:type="dxa" w:w="5800"/>
          </w:tcPr>
          <w:p>
            <w:r>
              <w:t xml:space="preserve">Debtor days ~220</w:t>
            </w:r>
          </w:p>
        </w:tc>
      </w:tr>
      <w:tr>
        <w:tc>
          <w:tcPr>
            <w:tcW w:type="dxa" w:w="3200"/>
            <w:shd w:fill="F2F2F2" w:val="clear"/>
          </w:tcPr>
          <w:p>
            <w:r>
              <w:rPr>
                <w:b/>
                <w:bCs/>
              </w:rPr>
              <w:t xml:space="preserve">Listing</w:t>
            </w:r>
          </w:p>
        </w:tc>
        <w:tc>
          <w:tcPr>
            <w:tcW w:type="dxa" w:w="5800"/>
          </w:tcPr>
          <w:p>
            <w:r>
              <w:t xml:space="preserve">NSE SME, listed ~Jan 2026 at a ~90% premium</w:t>
            </w:r>
          </w:p>
        </w:tc>
      </w:tr>
    </w:tbl>
    <w:p>
      <w:pPr>
        <w:spacing w:after="100"/>
      </w:pPr>
    </w:p>
    <w:p>
      <w:pPr>
        <w:spacing w:after="120"/>
      </w:pPr>
      <w:r>
        <w:t xml:space="preserve">FY25 showed strong top-line growth, but the first reported half as a listed company swung to a loss (Rs -7.5 Cr H1-FY26 vs Rs +14 Cr for full FY25), and debtor days near 220 confirm a working-capital-heavy, lumpy turnkey EPC profile with mediocre through-cycle return ratios (ROE ~13%). Railway signalling / electrification EPC is competitive and tender-driven; the asset-light framing does not remove execution and receivable risk. The 'Railway Intelligence Platform' is an unproven adjacency, not a current earnings driver.</w:t>
      </w:r>
    </w:p>
    <w:p>
      <w:pPr>
        <w:pStyle w:val="Heading1"/>
        <w:spacing w:after="120" w:before="280"/>
      </w:pPr>
      <w:r>
        <w:t xml:space="preserve">Technical Read (Weekly / Monthly MACD + Bollinger Bands, or RSI/CCI/Williams %R proxy)</w:t>
      </w:r>
    </w:p>
    <w:p>
      <w:pPr>
        <w:spacing w:after="120"/>
      </w:pPr>
      <w:r>
        <w:t xml:space="preserve">Not pulled -- listed ~Jan 2026 at a large premium; short, volatile history.</w:t>
      </w:r>
    </w:p>
    <w:p>
      <w:pPr>
        <w:pStyle w:val="Heading1"/>
        <w:spacing w:after="120" w:before="280"/>
      </w:pPr>
      <w:r>
        <w:t xml:space="preserve">ValuePickr Community Signal</w:t>
      </w:r>
    </w:p>
    <w:p>
      <w:pPr>
        <w:spacing w:after="120"/>
      </w:pPr>
      <w:r>
        <w:t xml:space="preserve">No dedicated ValuePickr thread found (category 11/14/17 search returned nothing) -- topic_slug null; research is web / filing based.</w:t>
      </w:r>
    </w:p>
    <w:p>
      <w:pPr>
        <w:spacing w:after="120"/>
      </w:pPr>
      <w:r>
        <w:rPr>
          <w:b/>
          <w:bCs/>
          <w:sz w:val="20"/>
          <w:szCs w:val="20"/>
        </w:rPr>
        <w:t xml:space="preserve">High-conviction call from a top contributor: </w:t>
      </w:r>
      <w:r>
        <w:rPr>
          <w:sz w:val="20"/>
          <w:szCs w:val="20"/>
        </w:rPr>
        <w:t xml:space="preserve">No trusted-user coverage. Untrusted X-triage lead (@BeatTheStreet10).</w:t>
      </w:r>
    </w:p>
    <w:p>
      <w:pPr>
        <w:pStyle w:val="Heading1"/>
        <w:spacing w:after="120" w:before="280"/>
      </w:pPr>
      <w:r>
        <w:t xml:space="preserve">BSE Corporate Actions / Other Red Flags</w:t>
      </w:r>
    </w:p>
    <w:p>
      <w:pPr>
        <w:spacing w:after="120"/>
      </w:pPr>
      <w:r>
        <w:t xml:space="preserve">Recently listed NSE SME. Standard micro-cap governance / liquidity caveats; the H1-FY26 loss and ~220 debtor days are the key items.</w:t>
      </w:r>
    </w:p>
    <w:p>
      <w:pPr>
        <w:pStyle w:val="Heading1"/>
        <w:spacing w:after="120" w:before="280"/>
      </w:pPr>
      <w:r>
        <w:t xml:space="preserve">Bull Case</w:t>
      </w:r>
    </w:p>
    <w:p>
      <w:pPr>
        <w:pStyle w:val="ListParagraph"/>
        <w:numPr>
          <w:ilvl w:val="0"/>
          <w:numId w:val="1"/>
        </w:numPr>
        <w:spacing w:after="60"/>
      </w:pPr>
      <w:r>
        <w:t xml:space="preserve">Railway capex cycle -- signalling, Kavach, electrification, urban transit -- is a multi-year government-spending tailwind</w:t>
      </w:r>
    </w:p>
    <w:p>
      <w:pPr>
        <w:pStyle w:val="ListParagraph"/>
        <w:numPr>
          <w:ilvl w:val="0"/>
          <w:numId w:val="1"/>
        </w:numPr>
        <w:spacing w:after="60"/>
      </w:pPr>
      <w:r>
        <w:t xml:space="preserve">FY25 revenue growth of ~47%</w:t>
      </w:r>
    </w:p>
    <w:p>
      <w:pPr>
        <w:pStyle w:val="ListParagraph"/>
        <w:numPr>
          <w:ilvl w:val="0"/>
          <w:numId w:val="1"/>
        </w:numPr>
        <w:spacing w:after="60"/>
      </w:pPr>
      <w:r>
        <w:t xml:space="preserve">Asset-light turnkey model with in-house engineering</w:t>
      </w:r>
    </w:p>
    <w:p>
      <w:pPr>
        <w:pStyle w:val="Heading1"/>
        <w:spacing w:after="120" w:before="280"/>
      </w:pPr>
      <w:r>
        <w:t xml:space="preserve">Bear Case / Key Risks</w:t>
      </w:r>
    </w:p>
    <w:p>
      <w:pPr>
        <w:pStyle w:val="ListParagraph"/>
        <w:numPr>
          <w:ilvl w:val="0"/>
          <w:numId w:val="1"/>
        </w:numPr>
        <w:spacing w:after="60"/>
      </w:pPr>
      <w:r>
        <w:t xml:space="preserve">Swung to a Rs ~7.5 Cr loss in the first listed half (H1-FY26) after a profitable FY25</w:t>
      </w:r>
    </w:p>
    <w:p>
      <w:pPr>
        <w:pStyle w:val="ListParagraph"/>
        <w:numPr>
          <w:ilvl w:val="0"/>
          <w:numId w:val="1"/>
        </w:numPr>
        <w:spacing w:after="60"/>
      </w:pPr>
      <w:r>
        <w:t xml:space="preserve">~220 debtor days -- heavy working capital, lumpy tender-driven execution</w:t>
      </w:r>
    </w:p>
    <w:p>
      <w:pPr>
        <w:pStyle w:val="ListParagraph"/>
        <w:numPr>
          <w:ilvl w:val="0"/>
          <w:numId w:val="1"/>
        </w:numPr>
        <w:spacing w:after="60"/>
      </w:pPr>
      <w:r>
        <w:t xml:space="preserve">Mediocre through-cycle return ratios (ROE ~13% over 3 yrs)</w:t>
      </w:r>
    </w:p>
    <w:p>
      <w:pPr>
        <w:pStyle w:val="ListParagraph"/>
        <w:numPr>
          <w:ilvl w:val="0"/>
          <w:numId w:val="1"/>
        </w:numPr>
        <w:spacing w:after="60"/>
      </w:pPr>
      <w:r>
        <w:t xml:space="preserve">Competitive railway-EPC space; 'Railway Intelligence Platform' is unproven optionality</w:t>
      </w:r>
    </w:p>
    <w:p>
      <w:pPr>
        <w:pStyle w:val="ListParagraph"/>
        <w:numPr>
          <w:ilvl w:val="0"/>
          <w:numId w:val="1"/>
        </w:numPr>
        <w:spacing w:after="60"/>
      </w:pPr>
      <w:r>
        <w:t xml:space="preserve">Untrusted lead; recent SME listing at a ~90% premium; no community or trusted validation</w:t>
      </w:r>
    </w:p>
    <w:p>
      <w:pPr>
        <w:pStyle w:val="Heading1"/>
        <w:spacing w:after="120" w:before="280"/>
      </w:pPr>
      <w:r>
        <w:t xml:space="preserve">Market-Cap Tier (informational — not a gate in this project)</w:t>
      </w:r>
    </w:p>
    <w:p>
      <w:pPr>
        <w:spacing w:after="120"/>
      </w:pPr>
      <w:r>
        <w:rPr>
          <w:b/>
          <w:bCs/>
        </w:rPr>
        <w:t xml:space="preserve">Micro-cap (~Rs 647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no · valuation: no  (score 1 / 4)</w:t>
      </w:r>
    </w:p>
    <w:p>
      <w:pPr>
        <w:spacing w:after="120"/>
      </w:pPr>
      <w:r>
        <w:rPr>
          <w:i/>
          <w:iCs/>
          <w:color w:val="666666"/>
          <w:sz w:val="20"/>
          <w:szCs w:val="20"/>
        </w:rPr>
        <w:t xml:space="preserve">tailwind=weak (railway capex real but competitive tender-driven EPC captures little rent). tam=weak (small, working-capital-bound turnkey business). moat=no (lumpy EPC, ~220 debtor days, no pricing power, H1-FY26 loss). valuation=no (~Rs 650 Cr mcap over a loss-making half). Score 1.0 -&gt; neither, hard.</w:t>
      </w:r>
    </w:p>
    <w:p>
      <w:pPr>
        <w:pStyle w:val="Heading1"/>
        <w:spacing w:after="120" w:before="280"/>
      </w:pPr>
      <w:r>
        <w:t xml:space="preserve">Verdict</w:t>
      </w:r>
    </w:p>
    <w:p>
      <w:pPr>
        <w:spacing w:after="120"/>
      </w:pPr>
      <w:r>
        <w:rPr>
          <w:b/>
          <w:bCs/>
          <w:sz w:val="24"/>
          <w:szCs w:val="24"/>
        </w:rPr>
        <w:t xml:space="preserve">Railway-capex EPC that just posted a listed-life loss on 220 debtor days -- 'neither', conviction Low</w:t>
      </w:r>
    </w:p>
    <w:p>
      <w:pPr>
        <w:pStyle w:val="ListParagraph"/>
        <w:numPr>
          <w:ilvl w:val="0"/>
          <w:numId w:val="1"/>
        </w:numPr>
        <w:spacing w:after="60"/>
      </w:pPr>
      <w:r>
        <w:t xml:space="preserve">No live-theme match -- railway EPC is not on the active theme list; processed as an external lead.</w:t>
      </w:r>
    </w:p>
    <w:p>
      <w:pPr>
        <w:pStyle w:val="ListParagraph"/>
        <w:numPr>
          <w:ilvl w:val="0"/>
          <w:numId w:val="1"/>
        </w:numPr>
        <w:spacing w:after="60"/>
      </w:pPr>
      <w:r>
        <w:t xml:space="preserve">four_box score 1.0 -&gt; 'neither' (hard). tailwind weak (railway capex is real but this is competitive tender-driven EPC that captures little economic rent), tam weak (small, working-capital-bound), moat no (turnkey EPC, lumpy, no pricing power, just swung to a loss), valuation no (~Rs 650 Cr mcap over a loss-making H1). No live-inflection carve-out -- the recent quarter is a negative, not a positive, catalyst.</w:t>
      </w:r>
    </w:p>
    <w:p>
      <w:pPr>
        <w:pStyle w:val="ListParagraph"/>
        <w:numPr>
          <w:ilvl w:val="0"/>
          <w:numId w:val="1"/>
        </w:numPr>
        <w:spacing w:after="60"/>
      </w:pPr>
      <w:r>
        <w:t xml:space="preserve">Conviction Low. The H1-FY26 loss and ~220 debtor days on a freshly listed SME override the FY25 growth optics. Re-check only if two-plus consecutive profitable listed quarters restore the FY25 trajectory and the cash cycle tightens.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2026-09-09T18:02:06.885Z</dcterms:created>
  <dcterms:modified xsi:type="dcterms:W3CDTF">2026-09-09T18:02:06.886Z</dcterms:modified>
</cp:coreProperties>
</file>

<file path=docProps/custom.xml><?xml version="1.0" encoding="utf-8"?>
<Properties xmlns="http://schemas.openxmlformats.org/officeDocument/2006/custom-properties" xmlns:vt="http://schemas.openxmlformats.org/officeDocument/2006/docPropsVTypes"/>
</file>