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EPL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laminated-tube packaging leader (oral care, beauty) mid-merger with Indorama's Indovida at a swap price implying ~Rs 339/share — a real, debated value-unlock catalyst, but a steady ~18% ROCE mid-cap, not a 10x setup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World's largest maker of laminated plastic tubes (oral care, cosmetics, pharma) — formerly Essel Propack, now Blackstone-controlled, in the process of merging with Indorama's Indovida (rigid packaging) to create a ~$1bn-revenue, ~$2bn-valuation combined packaging group, with Indorama becoming the new promoter and Blackstone exiting.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7,900 Cr (mid-cap)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~18.1% / ~16.6%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~0.32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revenue CAGR</w:t>
            </w:r>
          </w:p>
        </w:tc>
        <w:tc>
          <w:tcPr>
            <w:tcW w:type="dxa" w:w="5800"/>
          </w:tcPr>
          <w:p>
            <w:r>
              <w:t xml:space="preserve">~9% (slow, but reaccelerating)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+25.3% YoY (underlying +20% ex-commodity pass-through); PAT -1.4% YoY on commodity-cost squeeze; EBITDA margin ~18.8%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Merger swap</w:t>
            </w:r>
          </w:p>
        </w:tc>
        <w:tc>
          <w:tcPr>
            <w:tcW w:type="dxa" w:w="5800"/>
          </w:tcPr>
          <w:p>
            <w:r>
              <w:t xml:space="preserve">Indovida deal implies ~Rs 339/share for EPL vs a market price that has traded materially below that (Rs ~180-245 range through the debate)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quality, if slow-growing, global packaging leader: ~18% ROCE, moderate leverage, and a genuine step-up in top-line growth in Q1 FY27 (though margin was squeezed by commodity inflation, not expanded). The real story right now is the Indovida merger — a promoter change (Blackstone exiting, Indorama entering) at a swap valuation implying roughly a 40-60% premium to where the stock traded through much of 2026, which the VP community has actively debated rather than simply cheered.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247 · 19.2x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~19x TTM on an ~18% ROCE steady mid-cap implies ~10-12% EPS CAGR FY26-28 at an 18-20x exit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high-single to low-double-digit, OPM ~20%, PAT low-teens growth; Indorama/Indovida merger accretion is the swing factor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merger integration benefits plus laminated-tube share gains; steady compounder economics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board-approved Indovida merger (swap price implying ~Rs 339/share) is a real value-unlock not fully in the ~19x standalone multiple; but this is an ~18% ROCE mid-cap, not a 10x setup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37%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4 of the last 11 years (consistency_score 36)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FY16-FY26, FY19 (+11.7%/17%), FY21 (+12.0%/17%), FY22 (+11.0%/17%) and FY26 (+13.1%/18%) cleared both filters. ROCE sits steadily at 16-18% but the mature laminated-tube category clears 10% revenue growth in only 4 of 11 years.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has traded in a wide Rs ~180-245+ range through the merger-arb debate in 2026.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(topic 35172, 72-76 posts, active as recently as Jul 2026) is a live, genuinely analytical merger-arb debate. Apr 2026: posters flagged near-term headwinds (crude/aluminium costs) despite being invested. May 2026: a poster asked why the market traded well below the Rs 339 implied swap price if the deal was fairly priced and EPS-accretive; another (Chandragupta) suggested the gap reflects Indorama's post-merger entity having lower India exposure than pre-merger EPL, since Indian-business multiples run richer than the global blend. Jul 2026 (most recent): a poster who dug into the deal structure characterised it as possibly 'a financial engineering play for the benefit of Blackstone exit and Indorama's back-door entry into the Indian market without an IPO or open offer' — a live, unresolved skepticism about whether the deal genuinely benefits minority shareholders vs. facilitating the promoter transition. No trusted-user posts identified.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Active, analytically engaged, and split — real interest in the valuation gap, but real skepticism about whether it's a fair deal for minority shareholders or financial engineering for the incumbent PE promoter's exit.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issue. CCI and multi-jurisdiction antitrust clearances for the Indovida merger have been obtained. No red_flag_tier.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Merger swap price (~Rs 339) implies meaningful upside vs. where the stock has traded through 2026, if the market re-rates on deal completion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scale (combined ~$1bn revenue, ~$2bn valuation) as the world's largest laminated-tube maker, adding rigid packaging via Indovida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growth reaccelerated sharply (+25% reported, +20% underlying) after years of ~9% 5-yr CAGR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itself is split on whether the merger is fairly priced for minority shareholders or structured to benefit Blackstone's exit / Indorama's entry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actually declined YoY despite the revenue jump — commodity (crude/aluminium) cost pass-through is squeezing margins near-term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~9% 5-yr revenue CAGR is the through-cycle reality; the recent quarter is a reacceleration, not yet a multi-year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7,900 Cr mid-cap in a mature, largely-penetrated packaging category — no clear 10x-scale TAM argument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(steady FMCG-linked global tube demand + Indovida diversification into rigid packaging, not a structural multi-year accelerant). tam weak (Rs 7,900 Cr mid-cap in a mature category; combined entity targets ~$1bn revenue, a scale story not a 10x-TAM one). moat yes (largest global laminated-tube maker with entrenched oral-care/beauty customer relationships). valuation weak (merger-arb gap to the Rs 339 swap price is real, but the community itself questions whether it reflects a genuine mispricing or a structural reason the deal is priced this way). Score 2.5 -&gt; 'neither' per the decision table unless a written exception.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4.5, @StocksAndStoics — Indovida merger premium note). No live-theme match (packaging is not in active_themes.json). four_box score 2.5: the merger swap-price gap is a real, community-debated data point, but the community's own skepticism about whether it reflects fair value for minorities (vs. facilitating the promoter transition) keeps the valuation box at 'weak' rather than 'yes' — no written exception taken, so thesis_fit stays 'neither' per the decision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genuine quality (18% ROCE, global #1 position, real Q1 FY27 reacceleration) and a live, credible merger catalyst worth tracking, but not a 10x setup at this size and valuation ambiguity.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red_flag_tier. revisit_after_30d: false (thesis_fit is 'neither'), but this is a good candidate for the tier-2 re-verification backlog once the merger completes or the next 1-2 quarters clarify the margin trajectory.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2026-09-09T18:14:45.550Z</dcterms:created>
  <dcterms:modified xsi:type="dcterms:W3CDTF">2026-09-09T18:14:45.551Z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