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ESDS Software Solution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Nashik-based cloud / data-centre / GPU-as-a-Service player that listed 2026-09-04 at a 76% premium and has since gone near-parabolic (Rs 429 issue -&gt; ~Rs 1,308, ~Rs 12,800 Cr mcap, multiple upper circuits) - FY26 financials are genuinely strong (+28% revenue, +117% PAT, ~50% EBITDA margin) and it is a clean data-centre/AI theme hit, but zero public track record and a now-indefensible ~106x trailing P/E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One of only two Indian players claimed to offer the full spectrum of GPU-as-a-Service (GPUaaS), cloud, managed services and data-centre infrastructure plus software, largely serving government/BFSI and enterprise customers (MeitY-empanelled). IPO priced at Rs 429/share, raised ~Rs 720 Cr fresh issue (~Rs 576 Cr earmarked for cloud/DC infrastructure), listed on NSE/BSE 2026-09-04 at a ~76% premium and hit upper circuits for several sessions after. No ValuePickr thread yet - web-only, first-week-of-listing assessment.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12,777 Cr (price ~Rs 1,308, 8-Sep-2026; up from ~Rs 8,873 Cr at listing price on repeated upper circuits)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FY26 revenue</w:t>
            </w:r>
          </w:p>
        </w:tc>
        <w:tc>
          <w:tcPr>
            <w:tcW w:type="dxa" w:w="5800"/>
          </w:tcPr>
          <w:p>
            <w:r>
              <w:t xml:space="preserve">Rs 472.2 Cr, +28% YoY (FY24 Rs 286.5 Cr -&gt; FY25 Rs 361.3 Cr -&gt; FY26 Rs 472.2 Cr)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FY26 PAT</w:t>
            </w:r>
          </w:p>
        </w:tc>
        <w:tc>
          <w:tcPr>
            <w:tcW w:type="dxa" w:w="5800"/>
          </w:tcPr>
          <w:p>
            <w:r>
              <w:t xml:space="preserve">Rs 120.8 Cr, +117% YoY (FY24 Rs 13.6 Cr -&gt; FY25 Rs 55.6 Cr -&gt; FY26 Rs 120.8 Cr)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Margins</w:t>
            </w:r>
          </w:p>
        </w:tc>
        <w:tc>
          <w:tcPr>
            <w:tcW w:type="dxa" w:w="5800"/>
          </w:tcPr>
          <w:p>
            <w:r>
              <w:t xml:space="preserve">Operating profit Rs 234 Cr (~50% margin, up from ~35% in FY24); PAT margin ~25.6%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Balance sheet</w:t>
            </w:r>
          </w:p>
        </w:tc>
        <w:tc>
          <w:tcPr>
            <w:tcW w:type="dxa" w:w="5800"/>
          </w:tcPr>
          <w:p>
            <w:r>
              <w:t xml:space="preserve">Low leverage (D/E ~0.08 pre-IPO); interest expense fell Rs 31.6 Cr (FY24) -&gt; Rs 11.8 Cr (FY26); net cash post-IPO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Valuation</w:t>
            </w:r>
          </w:p>
        </w:tc>
        <w:tc>
          <w:tcPr>
            <w:tcW w:type="dxa" w:w="5800"/>
          </w:tcPr>
          <w:p>
            <w:r>
              <w:t xml:space="preserve">~27x trailing sales / ~106x trailing PAT at ~Rs 1,308 - already extreme, and running ahead of fundamentals on post-listing momentum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Capex plan</w:t>
            </w:r>
          </w:p>
        </w:tc>
        <w:tc>
          <w:tcPr>
            <w:tcW w:type="dxa" w:w="5800"/>
          </w:tcPr>
          <w:p>
            <w:r>
              <w:t xml:space="preserve">~Rs 576 Cr of IPO proceeds earmarked for cloud-computing/data-centre infrastructure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Customer concentration</w:t>
            </w:r>
          </w:p>
        </w:tc>
        <w:tc>
          <w:tcPr>
            <w:tcW w:type="dxa" w:w="5800"/>
          </w:tcPr>
          <w:p>
            <w:r>
              <w:t xml:space="preserve">Top 10 customers = ~45.4% of FY26 revenue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Cross-sell</w:t>
            </w:r>
          </w:p>
        </w:tc>
        <w:tc>
          <w:tcPr>
            <w:tcW w:type="dxa" w:w="5800"/>
          </w:tcPr>
          <w:p>
            <w:r>
              <w:t xml:space="preserve">Customers using all 3 service lines rose from 62.3% (FY24) to 89.0% (FY26)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FY26 numbers (per the RHP) are genuinely excellent for a company of this scale: 28% revenue growth compounding into 117% PAT growth, operating margin expanding from ~35% to ~50%, falling interest cost, and a rising cross-sell rate (62% -&gt; 89% of customers on all three service lines) that points to real stickiness. It is a clean hit on the live priority-1 data-centre / hyperscale / AI-infrastructure theme (GPUaaS + cloud + DC infra). Two hard caveats, both now sharper than at the first read: (1) zero public-market or post-IPO-disclosure track record - the first quarterly results as a listed company have not been reported; (2) the stock has roughly tripled from a rich IPO price to ~Rs 1,308 (~Rs 12,800 Cr, ~106x trailing PAT, ~27x sales) in its first week on repeated upper circuits, so the entry valuation now embeds years of flawless compounding with negative margin of safety. Margin durability (~50% operating margin) is itself unproven against GPUaaS pricing competition and hyperscaler pressure.</w:t>
      </w:r>
    </w:p>
    <w:p>
      <w:pPr>
        <w:pStyle w:val="Heading1"/>
        <w:spacing w:after="120" w:before="280"/>
      </w:pPr>
      <w:r>
        <w:t xml:space="preserve">Deep-Dive: Primary Documents (Annual Reports, Quarterly Results, Exchange Filings)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Pass 1 — 2026-09-08. Built from the company's own filings (3 years of annual reports, ~4 quarters of results/concalls, and 6 months of BSE/NSE announcements), read via the web — a deeper layer than the forum-sentiment read below.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Sources reviewed this pass: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IPO RHP-derived financials via indmoney / Chittorgarh / IPO Watch (FY24-FY26 revenue, PAT, operating profit, interest cost)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Listing coverage (PL Capital, India TV, Outlook Business): Rs 757 debut (+76%), ~143x subscription, consecutive upper circuits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indmoney live quote 8-Sep-2026: price ~Rs 1,308, mcap ~Rs 12,777 Cr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VP thread; no post-listing quarterly disclosure available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Annual-report findings (3-year view):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(RHP): revenue Rs 472.2 Cr (+28%), operating profit Rs 234 Cr (~50% margin, up from ~35% in FY24), PAT Rs 120.8 Cr (+117%).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PAT growth is margin-led and interest-led: operating margin +~1,500 bps over two years and interest expense down Rs 31.6 Cr -&gt; Rs 11.8 Cr, not just revenue scaling.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Low leverage pre-IPO (D/E ~0.08); ~Rs 720 Cr fresh primary raise makes the balance sheet net cash, with ~Rs 576 Cr earmarked for cloud/DC infrastructure capex.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Customer concentration disclosed: top 10 = ~45.4% of FY26 revenue.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Cross-sell metric: customers using all three service lines 62.3% (FY24) -&gt; 89.0% (FY26).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audited public-company annual report exists yet; all figures are RHP/pre-listing.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Quarterly trend (last ~4 quarters + concall commentary):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quarterly series available - ESDS has not yet reported a quarter as a listed company.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Annual trajectory FY24-&gt;FY26: revenue Rs 286.5 -&gt; 361.3 -&gt; 472.2 Cr (+26%, +31%); PAT Rs 13.6 -&gt; 55.6 -&gt; 120.8 Cr.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First public quarterly result (Q2 FY27, ~Oct/Nov 2026) will be the first verifiable data point.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Layer genuinely empty at deep-dive date.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Exchange announcements (last 6 months):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2026-09-04: listed on NSE/BSE at Rs 757 / Rs 746.30 (+76% / +73% vs Rs 429 issue).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Post-listing: upper circuits for multiple consecutive sessions; price ~Rs 1,308 and mcap ~Rs 12,777 Cr by 8-Sep-2026.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IPO subscribed ~142.9x (28 Aug - 1 Sep 2026 window).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operational announcements yet as a listed entity.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Key new facts vs. the prior write-up: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Market cap has expanded from ~Rs 8,873 Cr (issue price) to ~Rs 12,777 Cr in the first week on upper-circuit momentum.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Trailing valuation now ~106x PAT / ~27x sales - materially richer than at the first read.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Operating margin expanded from ~35% (FY24) to ~50% (FY26) - a large jump whose durability is untested.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PAT growth is substantially margin- and interest-cost-driven, not purely volume.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Still no VP thread, no public quarterly disclosure, no independent verification of the 'full-spectrum GPUaaS' positioning.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Open questions / what to watch: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Is a ~50% operating margin structurally sustainable, or does GPUaaS/cloud price competition normalise it lower?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What does the first listed-company quarter (Q2 FY27) show on revenue growth and margin?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How efficiently is the ~Rs 576 Cr DC capex deployed, and what incremental ROCE does it earn?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How does customer concentration (top 10 ~45%) evolve, and are any large contracts up for renewal?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Track record block omitted: no verifiable public-company fiscal-year history yet (listed 2026-09-04).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Conviction impact: </w:t>
      </w:r>
      <w:r>
        <w:rPr>
          <w:sz w:val="20"/>
          <w:szCs w:val="20"/>
        </w:rPr>
        <w:t xml:space="preserve">Medium -&gt; Low-Medium. FY26 financials and the theme fit remain genuinely attractive, but a ~3x first-week run to ~106x trailing PAT with zero public track record removes any margin of safety at the current price; the growth-magnitude exception keeps the 10x label but conviction is cut.</w:t>
      </w:r>
    </w:p>
    <w:p>
      <w:pPr>
        <w:pStyle w:val="Heading1"/>
        <w:spacing w:after="120" w:before="280"/>
      </w:pPr>
      <w:r>
        <w:t xml:space="preserve">Guidance &amp; Expectation Gap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Management guidance decoded into commitments, graded on the expectation → action → operational → commercial → financial ladder, then compared to what the current price appears to assume. Method: playbook/guidance-and-expectation-gap.md.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Commitment ladder (most-proven first):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600"/>
        <w:gridCol w:w="2400"/>
        <w:gridCol w:w="900"/>
        <w:gridCol w:w="1200"/>
        <w:gridCol w:w="800"/>
      </w:tblGrid>
      <w:tr>
        <w:trPr>
          <w:tblHeader/>
        </w:trPr>
        <w:tc>
          <w:tcPr>
            <w:tcW w:type="dxa" w:w="11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Area</w:t>
            </w:r>
          </w:p>
        </w:tc>
        <w:tc>
          <w:tcPr>
            <w:tcW w:type="dxa" w:w="26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Commitment</w:t>
            </w:r>
          </w:p>
        </w:tc>
        <w:tc>
          <w:tcPr>
            <w:tcW w:type="dxa" w:w="24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Specifics</w:t>
            </w:r>
          </w:p>
        </w:tc>
        <w:tc>
          <w:tcPr>
            <w:tcW w:type="dxa" w:w="9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By when</w:t>
            </w:r>
          </w:p>
        </w:tc>
        <w:tc>
          <w:tcPr>
            <w:tcW w:type="dxa" w:w="12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Stage</w:t>
            </w:r>
          </w:p>
        </w:tc>
        <w:tc>
          <w:tcPr>
            <w:tcW w:type="dxa" w:w="8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Thesis-critical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capex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Deploy ~Rs 576 Cr of IPO proceeds into cloud-computing / data-centre infrastructure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of the ~Rs 720 Cr fresh issue; capacity for cloud + GPUaaS growth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FY28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growth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Sustain high-20s%+ revenue growth with ~50% operating margin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implied by the FY24-FY26 trajectory; no formal public guidance yet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expectation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strategy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Scale GPU-as-a-Service as a differentiated full-spectrum offering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'one of only two' Indian full-spectrum GPUaaS providers (company claim)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beyond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expectation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Earnings chain: </w:t>
      </w:r>
      <w:r>
        <w:rPr>
          <w:b w:val="false"/>
          <w:bCs w:val="false"/>
          <w:sz w:val="20"/>
          <w:szCs w:val="20"/>
        </w:rPr>
        <w:t xml:space="preserve">DC/cloud/GPU capacity added (IPO-funded)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customer additions + cross-sell (62% -&gt; 89%)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revenue growth</w:t>
      </w:r>
      <w:r>
        <w:rPr>
          <w:color w:val="666666"/>
          <w:sz w:val="20"/>
          <w:szCs w:val="20"/>
        </w:rPr>
        <w:t xml:space="preserve"> → </w:t>
      </w:r>
      <w:r>
        <w:rPr>
          <w:b/>
          <w:bCs/>
          <w:color w:val="A32020"/>
          <w:sz w:val="20"/>
          <w:szCs w:val="20"/>
        </w:rPr>
        <w:t xml:space="preserve">operating leverage on the DC asset base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operating margin ~50%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PAT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FCF (net of ongoing DC capex)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Bottleneck link: operating leverage on the DC asset base.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Operating leverage: yes - operating margin expanded ~35% -&gt; ~50% over FY24-FY26 as revenue scaled on the DC base; durability unproven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Evidenced: customer additions + cross-sell (62% -&gt; 89%); revenue growth; operating margin ~50%; PAT. Still assumed: DC/cloud/GPU capacity added (IPO-funded); operating leverage on the DC asset base; FCF (net of ongoing DC capex).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Market expectation vs. our path: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 of</w:t>
            </w:r>
          </w:p>
        </w:tc>
        <w:tc>
          <w:tcPr>
            <w:tcW w:type="dxa" w:w="5800"/>
          </w:tcPr>
          <w:p>
            <w:r>
              <w:t xml:space="preserve">2026-09-08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/ multiple</w:t>
            </w:r>
          </w:p>
        </w:tc>
        <w:tc>
          <w:tcPr>
            <w:tcW w:type="dxa" w:w="5800"/>
          </w:tcPr>
          <w:p>
            <w:r>
              <w:t xml:space="preserve">Rs 1308 · 106x 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Right valuation lens</w:t>
            </w:r>
          </w:p>
        </w:tc>
        <w:tc>
          <w:tcPr>
            <w:tcW w:type="dxa" w:w="5800"/>
          </w:tcPr>
          <w:p>
            <w:r>
              <w:t xml:space="preserve">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implies</w:t>
            </w:r>
          </w:p>
        </w:tc>
        <w:tc>
          <w:tcPr>
            <w:tcW w:type="dxa" w:w="5800"/>
          </w:tcPr>
          <w:p>
            <w:r>
              <w:t xml:space="preserve">~45-55% EPS CAGR sustained for 5+ years would be needed to grow into ~106x at a ~30x high-quality-franchise exit; the FY24-FY26 rate was ~28% revenue / faster PAT on margin expansion that cannot repeat indefinitely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FY27</w:t>
            </w:r>
          </w:p>
        </w:tc>
        <w:tc>
          <w:tcPr>
            <w:tcW w:type="dxa" w:w="5800"/>
          </w:tcPr>
          <w:p>
            <w:r>
              <w:t xml:space="preserve">revenue +25-35%, PAT +25-40% if margins hold near ~50%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FY28</w:t>
            </w:r>
          </w:p>
        </w:tc>
        <w:tc>
          <w:tcPr>
            <w:tcW w:type="dxa" w:w="5800"/>
          </w:tcPr>
          <w:p>
            <w:r>
              <w:t xml:space="preserve">further growth as IPO capex lands, but wide range; margin normalisation is the key swing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direction</w:t>
            </w:r>
          </w:p>
        </w:tc>
        <w:tc>
          <w:tcPr>
            <w:tcW w:type="dxa" w:w="5800"/>
          </w:tcPr>
          <w:p>
            <w:r>
              <w:t xml:space="preserve">over-optimistic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type</w:t>
            </w:r>
          </w:p>
        </w:tc>
        <w:tc>
          <w:tcPr>
            <w:tcW w:type="dxa" w:w="5800"/>
          </w:tcPr>
          <w:p>
            <w:r>
              <w:t xml:space="preserve">duration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magnitude</w:t>
            </w:r>
          </w:p>
        </w:tc>
        <w:tc>
          <w:tcPr>
            <w:tcW w:type="dxa" w:w="5800"/>
          </w:tcPr>
          <w:p>
            <w:r>
              <w:t xml:space="preserve">not estimable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basis</w:t>
            </w:r>
          </w:p>
        </w:tc>
        <w:tc>
          <w:tcPr>
            <w:tcW w:type="dxa" w:w="5800"/>
          </w:tcPr>
          <w:p>
            <w:r>
              <w:t xml:space="preserve">the post-listing price embeds many years of flawless high-growth compounding with no public track record; even a strong FY27 is unlikely to justify ~106x on a fundamentals basis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Evidence quality</w:t>
            </w:r>
          </w:p>
        </w:tc>
        <w:tc>
          <w:tcPr>
            <w:tcW w:type="dxa" w:w="5800"/>
          </w:tcPr>
          <w:p>
            <w:r>
              <w:t xml:space="preserve">weak</w:t>
            </w:r>
          </w:p>
        </w:tc>
      </w:tr>
    </w:tbl>
    <w:p>
      <w:pPr>
        <w:spacing w:after="120"/>
      </w:pPr>
      <w:r>
        <w:rPr>
          <w:i/>
          <w:iCs/>
          <w:color w:val="666666"/>
          <w:sz w:val="16"/>
          <w:szCs w:val="16"/>
        </w:rPr>
        <w:t xml:space="preserve">no broker consensus; implied path is a reverse-P/E estimate + screener.in forward figures + VP thread view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Catalyst: </w:t>
      </w:r>
      <w:r>
        <w:rPr>
          <w:sz w:val="20"/>
          <w:szCs w:val="20"/>
        </w:rPr>
        <w:t xml:space="preserve">First post-listing quarterly result (Q2 FY27) and emergence of independent/VP coverage</w:t>
      </w:r>
      <w:r>
        <w:rPr>
          <w:color w:val="666666"/>
          <w:sz w:val="18"/>
          <w:szCs w:val="18"/>
        </w:rPr>
        <w:t xml:space="preserve"> (window ~3M from 2026-09-08; dated; evidence low; pending)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quality metrics · track record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Value chain &amp; supply side: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Theme</w:t>
            </w:r>
          </w:p>
        </w:tc>
        <w:tc>
          <w:tcPr>
            <w:tcW w:type="dxa" w:w="5800"/>
          </w:tcPr>
          <w:p>
            <w:r>
              <w:t xml:space="preserve">Data-centre power &amp; cooling / hyperscale + AI infrastructure (priority 1)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This company's position</w:t>
            </w:r>
          </w:p>
        </w:tc>
        <w:tc>
          <w:tcPr>
            <w:tcW w:type="dxa" w:w="5800"/>
          </w:tcPr>
          <w:p>
            <w:r>
              <w:t xml:space="preserve">Indian sovereign/enterprise cloud + colocation + GPUaaS provider - tier-2 DC operator serving govt/BFSI/enterprise, downstream of GPU/server OEMs and power/cooling suppliers, competing with hyperscalers and larger DC REIT-style operators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Bottleneck node (pricing power)</w:t>
            </w:r>
          </w:p>
        </w:tc>
        <w:tc>
          <w:tcPr>
            <w:tcW w:type="dxa" w:w="5800"/>
          </w:tcPr>
          <w:p>
            <w:r>
              <w:t xml:space="preserve">GPU/accelerator supply and power availability for AI-capable DC capacity; enterprise willingness to adopt a domestic provider over hyperscalers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Supply-side status</w:t>
            </w:r>
          </w:p>
        </w:tc>
        <w:tc>
          <w:tcPr>
            <w:tcW w:type="dxa" w:w="5800"/>
          </w:tcPr>
          <w:p>
            <w:r>
              <w:t xml:space="preserve">adding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Adjacent-node peers</w:t>
            </w:r>
          </w:p>
        </w:tc>
        <w:tc>
          <w:tcPr>
            <w:tcW w:type="dxa" w:w="5800"/>
          </w:tcPr>
          <w:p>
            <w:r>
              <w:t xml:space="preserve">Yotta (Hiranandani), CtrlS, Netmagic (NTT), Nxtra (Airtel), Sify Technologies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India DC capacity is in a heavy build phase (adding = late-cycle glut risk if AI demand disappoints), but sovereign-cloud/MeitY positioning gives ESDS a defensible niche. GPUaaS margins are the swing variable as more capacity comes online industry-wide.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Earnings quality: </w:t>
      </w:r>
      <w:r>
        <w:rPr>
          <w:sz w:val="20"/>
          <w:szCs w:val="20"/>
        </w:rPr>
        <w:t xml:space="preserve">margin driver mixed</w:t>
      </w:r>
      <w:r>
        <w:rPr>
          <w:b/>
          <w:bCs/>
          <w:color w:val="A32020"/>
          <w:sz w:val="20"/>
          <w:szCs w:val="20"/>
        </w:rPr>
        <w:t xml:space="preserve">  — PEAK-MARGIN RISK: do not capitalise current margins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Drivers: operating leverage on the data-centre asset base as revenue scaled; mix shift toward higher-margin cloud / managed services / GPUaaS; falling interest cost (Rs 31.6 Cr -&gt; Rs 11.8 Cr) flattering PAT growth.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Operating margin expanded from ~35% (FY24) to ~50% (FY26) - an unusually fast step-up. Part is genuine operating leverage, but a ~50% operating margin is high for a cloud/DC/GPUaaS provider and is untested against pricing competition as industry capacity is added; a through-cycle level closer to ~38-42% is a safer base.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Growth trajectory: </w:t>
      </w:r>
      <w:r>
        <w:rPr>
          <w:b w:val="false"/>
          <w:bCs w:val="false"/>
          <w:sz w:val="20"/>
          <w:szCs w:val="20"/>
        </w:rPr>
        <w:t xml:space="preserve">YoY growth rate is accelerating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No quarterly series (not yet reported as a listed company). Annual revenue growth FY24-&gt;FY25 +26%, FY25-&gt;FY26 +31%; PAT Rs 13.6 -&gt; 55.6 -&gt; 120.8 Cr (accelerating, margin- and interest-cost-aided).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Reverse P/E: ~106x trailing needs ~50%+ EPS CAGR sustained for years at a ~30x exit; the historical ~28% revenue rate plus non-repeatable margin/interest tailwinds do not clear that bar - the multiple is running well ahead of the rate of change.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Management quality (TVGP's "P"):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neutral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Capital allocation</w:t>
            </w:r>
          </w:p>
        </w:tc>
        <w:tc>
          <w:tcPr>
            <w:tcW w:type="dxa" w:w="5800"/>
          </w:tcPr>
          <w:p>
            <w:r>
              <w:t xml:space="preserve">Pre-IPO growth largely self-funded / lightly levered; deleveraged into listing. First major discretionary allocation is the ~Rs 576 Cr DC capex - not yet deployed, so track record as a public-company capital allocator is nil. (unclear)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Related-party trend</w:t>
            </w:r>
          </w:p>
        </w:tc>
        <w:tc>
          <w:tcPr>
            <w:tcW w:type="dxa" w:w="5800"/>
          </w:tcPr>
          <w:p>
            <w:r>
              <w:t xml:space="preserve">unclear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Guidance credibility</w:t>
            </w:r>
          </w:p>
        </w:tc>
        <w:tc>
          <w:tcPr>
            <w:tcW w:type="dxa" w:w="5800"/>
          </w:tcPr>
          <w:p>
            <w:r>
              <w:t xml:space="preserve">no-track-record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Shareholder returns</w:t>
            </w:r>
          </w:p>
        </w:tc>
        <w:tc>
          <w:tcPr>
            <w:tcW w:type="dxa" w:w="5800"/>
          </w:tcPr>
          <w:p>
            <w:r>
              <w:t xml:space="preserve">none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Capability ladder / VAP</w:t>
            </w:r>
          </w:p>
        </w:tc>
        <w:tc>
          <w:tcPr>
            <w:tcW w:type="dxa" w:w="5800"/>
          </w:tcPr>
          <w:p>
            <w:r>
              <w:t xml:space="preserve">Moving up from colocation/managed hosting toward cloud + GPUaaS / AI-infrastructure services</w:t>
            </w:r>
          </w:p>
        </w:tc>
      </w:tr>
    </w:tbl>
    <w:p>
      <w:pPr>
        <w:spacing w:after="120"/>
      </w:pPr>
      <w:r>
        <w:rPr>
          <w:b/>
          <w:bCs/>
          <w:sz w:val="20"/>
          <w:szCs w:val="20"/>
        </w:rPr>
        <w:t xml:space="preserve">Quality metrics (ROCE · debt · FCF · margin · capex):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neutral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—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Leverage</w:t>
            </w:r>
          </w:p>
        </w:tc>
        <w:tc>
          <w:tcPr>
            <w:tcW w:type="dxa" w:w="5800"/>
          </w:tcPr>
          <w:p>
            <w:r>
              <w:t xml:space="preserve">Net debt/EBITDA 0x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FCF conversion</w:t>
            </w:r>
          </w:p>
        </w:tc>
        <w:tc>
          <w:tcPr>
            <w:tcW w:type="dxa" w:w="5800"/>
          </w:tcPr>
          <w:p>
            <w:r>
              <w:t xml:space="preserve">—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Margin trend</w:t>
            </w:r>
          </w:p>
        </w:tc>
        <w:tc>
          <w:tcPr>
            <w:tcW w:type="dxa" w:w="5800"/>
          </w:tcPr>
          <w:p>
            <w:r>
              <w:t xml:space="preserve">expanding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Capex efficiency</w:t>
            </w:r>
          </w:p>
        </w:tc>
        <w:tc>
          <w:tcPr>
            <w:tcW w:type="dxa" w:w="5800"/>
          </w:tcPr>
          <w:p>
            <w:r>
              <w:t xml:space="preserve">unclear</w:t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Track record (Coffee Can persistence check): </w:t>
      </w:r>
      <w:r>
        <w:rPr>
          <w:sz w:val="20"/>
          <w:szCs w:val="20"/>
        </w:rPr>
        <w:t xml:space="preserve">cleared revenue growth ≥10% AND ROCE ≥15% in 3 of the last 5 years (consistency_score 60)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FY22-FY26 screener (ESDS, listed Sep-2026). Both revenue growth &gt;=10% AND ROCE &gt;=15%: FY24 (+38%, ROCE 21%), FY25 (+26%, ROCE 30%), and FY26 (+31%; FY26 ROCE not yet on screener but inferred &gt;15% from OPM 50% and a net-cash post-IPO balance sheet). FY22 (ROCE 1%) and FY23 (rev +7%) missed. Only two years are fully screener-verified on both metrics - short history.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N/A for a fundamentals read - but note the post-listing price action is a multi-session upper-circuit run, i.e. momentum/scarcity-driven, not fundamentally anchored.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No ValuePickr thread exists yet (listed 2026-09-04). Pre-listing IPO-analysis coverage (Chittorgarh, IPO Watch, indmoney) was positive on the trajectory and the listing pop; post-listing media notes the consecutive upper circuits. None of this is community-vetted VP-forum diligence, so it is weighted lightly.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None available (no VP thread; brand-new listing).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No SEBI/fraud order; no going-concern issue. IPO subscribed ~143x, listed with regulatory clearance; no red_flag_tier. Standard fresh-IPO risks: anchor/promoter lock-up expiries, no multi-quarter public disclosure history, customer concentration (top 10 ~45%).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Direct, clean hit on the live priority-1 data-centre / hyperscale / AI-infrastructure theme - GPUaaS + cloud + DC infra is exactly the bottleneck this screen watches for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financials genuinely strong: +28% revenue, +117% PAT, operating margin ~35% -&gt; ~50%, deleveraging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Rising cross-sell (62% -&gt; 89% of customers on all 3 service lines) is evidence of a sticky, expanding relationship, not just new-logo growth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~Rs 576 Cr fresh IPO capital earmarked directly for cloud/DC capacity - funded runway inside the theme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MeitY empanelment / government + BFSI base gives a sovereign-cloud positioning hyperscalers cannot fully replicate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Entry valuation is now ~106x trailing PAT / ~27x sales after a ~3x first-week run on upper circuits - negative margin of safety, priced for flawless multi-year compounding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Zero public-market track record; first listed-company quarterly result not yet reported - no way to verify execution vs public disclosure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~50% operating margin is unproven for durability against GPUaaS price competition and hyperscaler (AWS/Azure/GCP) pressure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Top-10 customer concentration ~45% of FY26 revenue is a real dependency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Fresh-IPO volatility: lock-up expiries and the first 1-2 quarterly prints as a newly public company are near-term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'Only two players offering the full GPUaaS spectrum' is a company claim, not independently verified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Mid-cap (~Rs 12,777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10x-in-2-3-years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yes · TAM: weak · moat: weak · valuation: no  (score 2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tailwind yes (AI/GPU-compute and data-centre demand is a clear, live, accelerating structural driver - a direct priority-1 theme hit). tam weak (India DC/cloud build-out is large, but ESDS's slice - mid-market/govt/BFSI cloud + GPUaaS, not hyperscale AI-training capacity - is narrower than the theme bellwethers, and the mcap is now ~Rs 12,800 Cr). moat weak (sovereign-cloud/MeitY positioning is real but unverified for durability vs hyperscalers). valuation no (~106x trailing PAT / ~27x sales after a ~3x first-week run - the thesis is more than fully priced). Score 2.0 -&gt; written exception taken on evidenced (not projected) FY26 growth acceleration (+117% PAT) inside a priority-1 theme; thesis_fit '10x-in-2-3-years' permitted but conviction capped at Low-Medium with an explicit 'unconfirmed / valuation-blown' caveat.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External-lead (tier 4.5, @StocksAndStoics). Direct live-theme match: 'Data-centre power &amp; cooling' / hyperscale infrastructure (priority 1) - GPUaaS + cloud + DC infra is squarely inside it. four_box score 2.0; growth-magnitude exception invoked in writing (FY26 PAT +117%, evidenced not projected, inside a priority-1 theme) -&gt; thesis_fit '10x-in-2-3-years' permitted.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Conviction cut Medium -&gt; Low-Medium versus the first read: the stock has roughly tripled from a rich IPO price to ~Rs 1,308 (~Rs 12,800 Cr, ~106x trailing PAT) in its first week on consecutive upper circuits. Starting valuation now offers negative margin of safety and the price action is momentum-driven, not fundamentally anchored.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topic_id/topic_slug intentionally null: no VP thread exists for a company that listed days before this deep-dive - expected, not a search failure.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red_flag_tier. Flag for manual follow-up once the first post-listing quarterly result and any VP community thread emerge; re-rate only after a real disclosure track record exists and the price has found a fundamentals-anchored level.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2026-09-09T18:39:10.142Z</dcterms:created>
  <dcterms:modified xsi:type="dcterms:W3CDTF">2026-09-09T18:39:10.143Z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