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Edelweiss Financial Services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Diversified financial-services hold-co pursuing a sum-of-the-parts value-unlock via its asset-management arm's IPO, pitched at IAS 2026 with a reported Mohnish Pabrai connection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Edelweiss Financial Services is a diversified financial-services hold-co spanning financial markets/asset management (EAAA), credit/loans, life insurance, and commodities, currently mid-way through a multi-year restructuring since the ILFS-crisis era.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12,180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9.63% (3-year)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13.3%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-0.67% over past 5 years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quarter/catalyst</w:t>
            </w:r>
          </w:p>
        </w:tc>
        <w:tc>
          <w:tcPr>
            <w:tcW w:type="dxa" w:w="5800"/>
          </w:tcPr>
          <w:p>
            <w:r>
              <w:t xml:space="preserve">EAAA (asset-management subsidiary) private placement of 15% for Rs 1,500 Cr, valuing EAAA alone at ~Rs 10,000 Cr - ~85% of the current hold-co market cap of Rs 11,800 Cr; NIDO (housing-finance JV) stake partially monetised for Rs 600 Cr with Rs 900-1,400 Cr more expected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93.50 - 133.90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4.40 (high, but structurally typical for a diversified NBFC hold-co); total corporate debt ~Rs 6,500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trailing top-line growth at the hold-co level masks a real, quantifiable sum-of-the-parts value-unlock underway: the EAAA (asset management) private placement and planned FPO alone implies a subsidiary value close to the entire current hold-co market cap, with additional NIDO stake monetisation providing extra balance-sheet capital.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134 · 20.1x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P/B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~2.7x P/B on a ~14% ROE hold-co implies the market is crediting the asset-management-arm IPO / sum-of-the-parts unlock; fair value near 2x P/B needs ROE to sustain 14-16% and the AMC listing to crystallise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+10-15%, ROE creeping toward 14-15%; standalone earnings power modest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value realisation hinges on the AMC IPO timing and terms, not organic compounding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SOTP / AMC-IPO unlock is partly in the 2.7x P/B; execution and timing of the listing are the swing, and the consolidated ROE has never reached 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11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Consolidated ROE (used in place of ROCE for a financial) was 5% through FY20 and only reached 14% by FY26 - below the 15% filter every year. Revenue growth is erratic with the credit cycle (-34% to +35%). No year clears both filters; the thesis is a SOTP unlock, not a consistency record.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1,344 available posts (Sep 2025-Jul 2026) out of a very long-running thread. Sentiment is mixed and highly polarised - detailed SOTP-valuation work from long-term holders alongside a governance complaint about the EAAA private placement favouring insiders, and a passionate, heavily-biased (40% of portfolio) long-term defender citing a well-known external investor's thesis.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VP-trusted-tier user posted in the read window. never_overpay (non-trusted) published detailed handwritten SOTP valuations (Jul/Dec 2025). amit.wilson (non-trusted) laid out the EAAA private-placement and NIDO-monetisation mechanics in detail (Feb 2026). SAM2003 (non-trusted) raised a governance concern that the EAAA private placement favoured 'loyal investors and employees' ahead of an FPO, calling it ethically questionable for long-suffering minority shareholders, and said they sold half their holding. Daljit_Singh (non-trusted, self-disclosed 40% portfolio concentration since COVID) cited Mohnish Pabrai's publicly stated thesis on Edelweiss as validation of management's post-ILFS turnaround.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Concrete, quantifiable sum-of-the-parts catalyst: the EAAA private placement values that single subsidiary at ~Rs 10,000 Cr, close to the entire current hold-co market cap of ~Rs 11,800 Cr, implying the market is assigning little value to the rest of the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Additional NIDO housing-finance stake monetisation (Rs 600 Cr received, Rs 900-1,400 Cr more expected) strengthens the balance sheet further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well-known external value investor (Mohnish Pabrai, per community reference to his publicly stated thesis) is reported to view management's post-ILFS-crisis execution favourably versus peers (DHFL, Reliance Home, Indiabulls)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5-year revenue growth is negative (-0.67%) - a genuinely poor growth track record at the group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(Debt/Equity 4.40) is structural to the NBFC hold-co model, but still a real balance-sheet risk if credit conditions tighten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community member raised a real (if unadjudicated) governance concern: the EAAA private placement to 'loyal investors and employees' ahead of a public FPO, allowing a quick ~50% profit for insiders while long-term minority shareholders have suffered 'decades of underperformance'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12,180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EAAA IPO/placement is a genuine value-unlock (valuation=yes) but magnitude only supports re-rating not 10x; weak growth/high leverage undercut other boxes.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Real, quantifiable SOTP value-unlock underway, but likely a re-rating story rather than a 10x/100x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EAAA IPO/private-placement mechanics are concrete and well-documented by the community, and do represent genuine unrecognised value at the hold-co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However, the magnitude of the unlock (implying the rest of the group is undervalued, not worthless) more plausibly supports a meaningful re-rating than a 10x-in-2-3-years or 100x-in-10-years outcome, so thesis_fit is 'neither'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Medium conviction reflects the credibility of the catalyst and a well-known external investor's reported endorsement, tempered by weak trailing growth, high structural leverage, and an unresolved governance complaint about the private placement's fairness to minority shareholders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2026-09-09T18:14:45.408Z</dcterms:created>
  <dcterms:modified xsi:type="dcterms:W3CDTF">2026-09-09T18:14:45.409Z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