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Emerald Finance Ltd</w:t>
      </w:r>
    </w:p>
    <w:p>
      <w:pPr>
        <w:pBdr>
          <w:bottom w:val="single" w:color="CCCCCC" w:sz="6" w:space="8"/>
        </w:pBdr>
        <w:spacing w:after="200"/>
      </w:pPr>
      <w:r>
        <w:rPr>
          <w:i/>
          <w:iCs/>
          <w:color w:val="666666"/>
          <w:sz w:val="22"/>
          <w:szCs w:val="22"/>
        </w:rPr>
        <w:t xml:space="preserve">Rs ~175 Cr micro-cap NBFC built around Earned Wage Access (EWA) plus a loan-origination platform for 40+ lenders and a nascent gold-loan DSA business -- 12 straight quarters of revenue growth and ~50%+ YoY PAT growth on a tiny base, now trading at single-digit forward P/E, but the market has stopped believing the 'grow profit 10x in 2-3 years' guidance, NPA disclosure is missing, and well-funded competitors have entered</w:t>
      </w:r>
    </w:p>
    <w:p>
      <w:pPr>
        <w:pStyle w:val="Heading1"/>
        <w:spacing w:after="120" w:before="280"/>
      </w:pPr>
      <w:r>
        <w:t xml:space="preserve">Business Overview</w:t>
      </w:r>
    </w:p>
    <w:p>
      <w:pPr>
        <w:spacing w:after="120"/>
      </w:pPr>
      <w:r>
        <w:t xml:space="preserve">Emerald Finance (Chandigarh, NBFC since 1983, EWA launched ~2022) offers Earned Wage Access -- letting employees of tied corporates draw already-earned salary early -- and has extended this into a loan-origination / distribution platform for 40+ financial institutions via subsidiary Eclat, plus MSME referral lending on its own small book and, recently, gold-loan distribution (lead DSA for Muthoot). Sweet spot is corporates with 200-500 employees; has onboarded ~210 corporates including some large ones (a 3,000-staff municipal corporation, EBIX 3,500).</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175-180 Cr (micro-cap)</w:t>
            </w:r>
          </w:p>
        </w:tc>
      </w:tr>
      <w:tr>
        <w:tc>
          <w:tcPr>
            <w:tcW w:type="dxa" w:w="3200"/>
            <w:shd w:fill="F2F2F2" w:val="clear"/>
          </w:tcPr>
          <w:p>
            <w:r>
              <w:rPr>
                <w:b/>
                <w:bCs/>
              </w:rPr>
              <w:t xml:space="preserve">ROCE / ROE</w:t>
            </w:r>
          </w:p>
        </w:tc>
        <w:tc>
          <w:tcPr>
            <w:tcW w:type="dxa" w:w="5800"/>
          </w:tcPr>
          <w:p>
            <w:r>
              <w:t xml:space="preserve">~21.2% / ~16.0%</w:t>
            </w:r>
          </w:p>
        </w:tc>
      </w:tr>
      <w:tr>
        <w:tc>
          <w:tcPr>
            <w:tcW w:type="dxa" w:w="3200"/>
            <w:shd w:fill="F2F2F2" w:val="clear"/>
          </w:tcPr>
          <w:p>
            <w:r>
              <w:rPr>
                <w:b/>
                <w:bCs/>
              </w:rPr>
              <w:t xml:space="preserve">Revenue trend</w:t>
            </w:r>
          </w:p>
        </w:tc>
        <w:tc>
          <w:tcPr>
            <w:tcW w:type="dxa" w:w="5800"/>
          </w:tcPr>
          <w:p>
            <w:r>
              <w:t xml:space="preserve">Up 12 straight quarters: ~Rs 2.8 Cr (Jun-22) -&gt; ~Rs 9.4-9.8 Cr (Q4 FY26 / Q1 FY27)</w:t>
            </w:r>
          </w:p>
        </w:tc>
      </w:tr>
      <w:tr>
        <w:tc>
          <w:tcPr>
            <w:tcW w:type="dxa" w:w="3200"/>
            <w:shd w:fill="F2F2F2" w:val="clear"/>
          </w:tcPr>
          <w:p>
            <w:r>
              <w:rPr>
                <w:b/>
                <w:bCs/>
              </w:rPr>
              <w:t xml:space="preserve">Q4 FY26</w:t>
            </w:r>
          </w:p>
        </w:tc>
        <w:tc>
          <w:tcPr>
            <w:tcW w:type="dxa" w:w="5800"/>
          </w:tcPr>
          <w:p>
            <w:r>
              <w:t xml:space="preserve">Revenue Rs 9.75 Cr (+51% YoY); PAT Rs 4.05 Cr (+58% YoY)</w:t>
            </w:r>
          </w:p>
        </w:tc>
      </w:tr>
      <w:tr>
        <w:tc>
          <w:tcPr>
            <w:tcW w:type="dxa" w:w="3200"/>
            <w:shd w:fill="F2F2F2" w:val="clear"/>
          </w:tcPr>
          <w:p>
            <w:r>
              <w:rPr>
                <w:b/>
                <w:bCs/>
              </w:rPr>
              <w:t xml:space="preserve">Q1 FY27</w:t>
            </w:r>
          </w:p>
        </w:tc>
        <w:tc>
          <w:tcPr>
            <w:tcW w:type="dxa" w:w="5800"/>
          </w:tcPr>
          <w:p>
            <w:r>
              <w:t xml:space="preserve">Revenue Rs 9.44 Cr (+40% YoY, -3% QoQ); PAT Rs 4.6-4.9 Cr (+~50% YoY)</w:t>
            </w:r>
          </w:p>
        </w:tc>
      </w:tr>
      <w:tr>
        <w:tc>
          <w:tcPr>
            <w:tcW w:type="dxa" w:w="3200"/>
            <w:shd w:fill="F2F2F2" w:val="clear"/>
          </w:tcPr>
          <w:p>
            <w:r>
              <w:rPr>
                <w:b/>
                <w:bCs/>
              </w:rPr>
              <w:t xml:space="preserve">Valuation</w:t>
            </w:r>
          </w:p>
        </w:tc>
        <w:tc>
          <w:tcPr>
            <w:tcW w:type="dxa" w:w="5800"/>
          </w:tcPr>
          <w:p>
            <w:r>
              <w:t xml:space="preserve">P/E ~10-12 trailing, forward single-digit; P/B ~1.75; EV/EBITDA ~7</w:t>
            </w:r>
          </w:p>
        </w:tc>
      </w:tr>
      <w:tr>
        <w:tc>
          <w:tcPr>
            <w:tcW w:type="dxa" w:w="3200"/>
            <w:shd w:fill="F2F2F2" w:val="clear"/>
          </w:tcPr>
          <w:p>
            <w:r>
              <w:rPr>
                <w:b/>
                <w:bCs/>
              </w:rPr>
              <w:t xml:space="preserve">Debt / book</w:t>
            </w:r>
          </w:p>
        </w:tc>
        <w:tc>
          <w:tcPr>
            <w:tcW w:type="dxa" w:w="5800"/>
          </w:tcPr>
          <w:p>
            <w:r>
              <w:t xml:space="preserve">D/E ~0.18 (very low for a lender); ~half of income is fee-based, half interest income</w:t>
            </w:r>
          </w:p>
        </w:tc>
      </w:tr>
      <w:tr>
        <w:tc>
          <w:tcPr>
            <w:tcW w:type="dxa" w:w="3200"/>
            <w:shd w:fill="F2F2F2" w:val="clear"/>
          </w:tcPr>
          <w:p>
            <w:r>
              <w:rPr>
                <w:b/>
                <w:bCs/>
              </w:rPr>
              <w:t xml:space="preserve">Guidance</w:t>
            </w:r>
          </w:p>
        </w:tc>
        <w:tc>
          <w:tcPr>
            <w:tcW w:type="dxa" w:w="5800"/>
          </w:tcPr>
          <w:p>
            <w:r>
              <w:t xml:space="preserve">Management has guided ~10x profit over 2-3 years -- thread consensus is this will be missed</w:t>
            </w:r>
          </w:p>
        </w:tc>
      </w:tr>
    </w:tbl>
    <w:p>
      <w:pPr>
        <w:spacing w:after="100"/>
      </w:pPr>
    </w:p>
    <w:p>
      <w:pPr>
        <w:spacing w:after="120"/>
      </w:pPr>
      <w:r>
        <w:t xml:space="preserve">On the numbers alone this is a fast, capital-light compounder on a tiny base -- revenue up every quarter for three years, PAT up ~50%+ YoY, ROCE ~21%, near-zero leverage, promoters buying stock in the open market almost every month. The problems are qualitative: (1) management's headline '10x in 2-3 years' promise is not tracking, and the thread's own originator (firefueled, trusted) has exited and turned negative; (2) the investor presentation still does not disclose GNPA/NNPA/ECL/credit cost despite repeated investor requests -- one trusted user (thakurvi) sold and switched to Suryoday SFB over it; (3) 'impairment of financial assets' is rising (bad loans) without explanation; (4) competition has arrived -- Ashneer Grover's Fund My Staff, plus Refyne, Jiffy -- and Emerald entered EWA after several of these already locked up large enterprises; (5) a 2020 SEBI adjudication order against the promoters (Sec 15H, a 7-year SAST disclosure delay, Rs 5 lakh penalty at the floor of the matrix, paid promptly in 2021) -- analysed on-thread as procedural, not a material governance red flag.</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2026-09-09</w:t>
            </w:r>
          </w:p>
        </w:tc>
      </w:tr>
      <w:tr>
        <w:tc>
          <w:tcPr>
            <w:tcW w:type="dxa" w:w="3200"/>
            <w:shd w:fill="F2F2F2" w:val="clear"/>
          </w:tcPr>
          <w:p>
            <w:r>
              <w:rPr>
                <w:b/>
                <w:bCs/>
              </w:rPr>
              <w:t xml:space="preserve">Price / multiple</w:t>
            </w:r>
          </w:p>
        </w:tc>
        <w:tc>
          <w:tcPr>
            <w:tcW w:type="dxa" w:w="5800"/>
          </w:tcPr>
          <w:p>
            <w:r>
              <w:t xml:space="preserve">Rs 67.1 · 14.4x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~14x trailing / single-digit forward P/E with ~16% ROE; against an ~18-20x exit for a profitable niche NBFC this needs only ~15-20% EPS CAGR to be fair -- the market has stopped pricing the guided '10x in 2-3 years' and is valuing the base ~40-50% growth cheaply</w:t>
            </w:r>
          </w:p>
        </w:tc>
      </w:tr>
      <w:tr>
        <w:tc>
          <w:tcPr>
            <w:tcW w:type="dxa" w:w="3200"/>
            <w:shd w:fill="F2F2F2" w:val="clear"/>
          </w:tcPr>
          <w:p>
            <w:r>
              <w:rPr>
                <w:b/>
                <w:bCs/>
              </w:rPr>
              <w:t xml:space="preserve">Our FY27</w:t>
            </w:r>
          </w:p>
        </w:tc>
        <w:tc>
          <w:tcPr>
            <w:tcW w:type="dxa" w:w="5800"/>
          </w:tcPr>
          <w:p>
            <w:r>
              <w:t xml:space="preserve">revenue +30-45% if corporate onboarding (~30/quarter) and gold-loan DSA hold; PAT +30-40%; ROE mid-to-high teens</w:t>
            </w:r>
          </w:p>
        </w:tc>
      </w:tr>
      <w:tr>
        <w:tc>
          <w:tcPr>
            <w:tcW w:type="dxa" w:w="3200"/>
            <w:shd w:fill="F2F2F2" w:val="clear"/>
          </w:tcPr>
          <w:p>
            <w:r>
              <w:rPr>
                <w:b/>
                <w:bCs/>
              </w:rPr>
              <w:t xml:space="preserve">Our FY28</w:t>
            </w:r>
          </w:p>
        </w:tc>
        <w:tc>
          <w:tcPr>
            <w:tcW w:type="dxa" w:w="5800"/>
          </w:tcPr>
          <w:p>
            <w:r>
              <w:t xml:space="preserve">continued 30%+ growth possible on the EWA + origination-platform flywheel, but well-funded competition (Fund My Staff, Refyne, Jiffy) is a real cap</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duration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single-digit forward P/E prices only base growth and ignores the guided 10x; the growth is real (12 straight up quarters, PAT +50%+ YoY) but the missed guidance, absent GNPA/NNPA disclosure, rising unexplained impairment and new competition keep this partially-priced rather than clearly underestimated</w:t>
            </w:r>
          </w:p>
        </w:tc>
      </w:tr>
      <w:tr>
        <w:tc>
          <w:tcPr>
            <w:tcW w:type="dxa" w:w="3200"/>
            <w:shd w:fill="F2F2F2" w:val="clear"/>
          </w:tcPr>
          <w:p>
            <w:r>
              <w:rPr>
                <w:b/>
                <w:bCs/>
              </w:rPr>
              <w:t xml:space="preserve">Evidence quality</w:t>
            </w:r>
          </w:p>
        </w:tc>
        <w:tc>
          <w:tcPr>
            <w:tcW w:type="dxa" w:w="5800"/>
          </w:tcPr>
          <w:p>
            <w:r>
              <w:t xml:space="preserve">weak</w:t>
            </w:r>
          </w:p>
        </w:tc>
      </w:tr>
    </w:tbl>
    <w:p>
      <w:pPr>
        <w:spacing w:after="120"/>
      </w:pPr>
      <w:r>
        <w:rPr>
          <w:i/>
          <w:iCs/>
          <w:color w:val="666666"/>
          <w:sz w:val="16"/>
          <w:szCs w:val="16"/>
        </w:rPr>
        <w:t xml:space="preserve">no broker consensus; implied path is a reverse-P/E estimate + screener.in forward figures + VP thread view</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ROCE</w:t>
            </w:r>
          </w:p>
        </w:tc>
        <w:tc>
          <w:tcPr>
            <w:tcW w:type="dxa" w:w="5800"/>
          </w:tcPr>
          <w:p>
            <w:r>
              <w:t xml:space="preserve">21.2% (improving)</w:t>
            </w:r>
          </w:p>
        </w:tc>
      </w:tr>
      <w:tr>
        <w:tc>
          <w:tcPr>
            <w:tcW w:type="dxa" w:w="3200"/>
            <w:shd w:fill="F2F2F2" w:val="clear"/>
          </w:tcPr>
          <w:p>
            <w:r>
              <w:rPr>
                <w:b/>
                <w:bCs/>
              </w:rPr>
              <w:t xml:space="preserve">Leverage</w:t>
            </w:r>
          </w:p>
        </w:tc>
        <w:tc>
          <w:tcPr>
            <w:tcW w:type="dxa" w:w="5800"/>
          </w:tcPr>
          <w:p>
            <w:r>
              <w:t xml:space="preserve">—</w:t>
            </w:r>
          </w:p>
        </w:tc>
      </w:tr>
      <w:tr>
        <w:tc>
          <w:tcPr>
            <w:tcW w:type="dxa" w:w="3200"/>
            <w:shd w:fill="F2F2F2" w:val="clear"/>
          </w:tcPr>
          <w:p>
            <w:r>
              <w:rPr>
                <w:b/>
                <w:bCs/>
              </w:rPr>
              <w:t xml:space="preserve">FCF conversion</w:t>
            </w:r>
          </w:p>
        </w:tc>
        <w:tc>
          <w:tcPr>
            <w:tcW w:type="dxa" w:w="5800"/>
          </w:tcPr>
          <w:p>
            <w:r>
              <w:t xml:space="preserve">—</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neutral</w:t>
            </w:r>
          </w:p>
        </w:tc>
      </w:tr>
    </w:tbl>
    <w:p>
      <w:pPr>
        <w:spacing w:after="60" w:before="120"/>
      </w:pPr>
      <w:r>
        <w:rPr>
          <w:b/>
          <w:bCs/>
          <w:sz w:val="20"/>
          <w:szCs w:val="20"/>
        </w:rPr>
        <w:t xml:space="preserve">Track record (Coffee Can persistence check): </w:t>
      </w:r>
      <w:r>
        <w:rPr>
          <w:sz w:val="20"/>
          <w:szCs w:val="20"/>
        </w:rPr>
        <w:t xml:space="preserve">cleared revenue growth ≥10% AND ROCE ≥15% in 1 of the last 5 years (consistency_score 20)</w:t>
      </w:r>
    </w:p>
    <w:p>
      <w:pPr>
        <w:spacing w:after="120"/>
      </w:pPr>
      <w:r>
        <w:rPr>
          <w:color w:val="666666"/>
          <w:sz w:val="18"/>
          <w:szCs w:val="18"/>
        </w:rPr>
        <w:t xml:space="preserve">NBFC -- profitability leg on ROE. Per screener.in, only FY26 (+41% revenue / ROE 16%, ROCE 21%) clears both bars. FY22-FY24 ROE was ~9%; FY25 (+69% revenue) ROE 14% just missed. The EWA-driven profitability step-up is one year old; revenue has risen 12 straight quarters but ROE only crossed 15% in FY26. No GNPA/NNPA/ECL disclosure is a governance gap.</w:t>
      </w:r>
    </w:p>
    <w:p>
      <w:pPr>
        <w:pStyle w:val="Heading1"/>
        <w:spacing w:after="120" w:before="280"/>
      </w:pPr>
      <w:r>
        <w:t xml:space="preserve">Technical Read (Weekly / Monthly MACD + Bollinger Bands, or RSI/CCI/Williams %R proxy)</w:t>
      </w:r>
    </w:p>
    <w:p>
      <w:pPr>
        <w:spacing w:after="120"/>
      </w:pPr>
      <w:r>
        <w:t xml:space="preserve">Not pulled directly; thread notes a sustained downtrend since the ~Rs 160 peak (~70x P/E), stock roughly halved, weekly breakout failed near Rs 95.</w:t>
      </w:r>
    </w:p>
    <w:p>
      <w:pPr>
        <w:pStyle w:val="Heading1"/>
        <w:spacing w:after="120" w:before="280"/>
      </w:pPr>
      <w:r>
        <w:t xml:space="preserve">ValuePickr Community Signal</w:t>
      </w:r>
    </w:p>
    <w:p>
      <w:pPr>
        <w:spacing w:after="120"/>
      </w:pPr>
      <w:r>
        <w:t xml:space="preserve">Long, engaged thread (159 posts; posts 104-159 read). Retail trackers (HarshVijay, ha_the_meow, Umang_Adatia) are diligent -- quarterly teardown of results, IR follow-ups, reading the Letter of Offer on the SEBI order. Trusted (elevated) voices split: Aloysius_De_Sa and Ketan_Chheda are constructive on valuation ('at some point the market stops caring about the 10x promise and just looks at the fundamentals... single-digit forward P/E'); firefueled (trusted, thread initiator) is now firmly negative -- 'this penny stock doesn't deserve such respect', sold entire holding ~95, says the 10x guidance 'isn't happening at all'; thakurvi (trusted) sold over the missing NPA disclosure. No trusted user currently holds a high-conviction buy. Net trusted signal has turned mildly negative on momentum/credibility even as valuation looks cheap.</w:t>
      </w:r>
    </w:p>
    <w:p>
      <w:pPr>
        <w:spacing w:after="120"/>
      </w:pPr>
      <w:r>
        <w:rPr>
          <w:b/>
          <w:bCs/>
          <w:sz w:val="20"/>
          <w:szCs w:val="20"/>
        </w:rPr>
        <w:t xml:space="preserve">High-conviction call from a top contributor: </w:t>
      </w:r>
      <w:r>
        <w:rPr>
          <w:sz w:val="20"/>
          <w:szCs w:val="20"/>
        </w:rPr>
        <w:t xml:space="preserve">Mixed-to-negative trusted signal: the elevated-tier user who started the thread has exited and is bearish, another trusted user sold over disclosure, while two others argue the valuation is now too cheap to be bearish. No conviction floor (no core-tier signal). Treat as informational.</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2026-07-30 — Ketan_Chheda</w:t>
      </w:r>
      <w:r>
        <w:rPr>
          <w:i/>
          <w:iCs/>
          <w:color w:val="666666"/>
          <w:sz w:val="18"/>
          <w:szCs w:val="18"/>
        </w:rPr>
        <w:t xml:space="preserve"> (Emerald Finance - Revolutioning employee finance (EWA))</w:t>
      </w:r>
      <w:r>
        <w:rPr>
          <w:sz w:val="20"/>
          <w:szCs w:val="20"/>
        </w:rPr>
        <w:br/>
        <w:t xml:space="preserve">: Tracking (small position); values on P/B ~1.75 and P/E ~10.7; positive that the company is NOT levering up aggressively, but flags disruption risk from bigger/newer players</w:t>
      </w:r>
    </w:p>
    <w:p>
      <w:pPr>
        <w:spacing w:after="100"/>
      </w:pPr>
      <w:r>
        <w:rPr>
          <w:b/>
          <w:bCs/>
          <w:sz w:val="20"/>
          <w:szCs w:val="20"/>
        </w:rPr>
        <w:t xml:space="preserve">2026-07-31 — Aloysius_De_Sa</w:t>
      </w:r>
      <w:r>
        <w:rPr>
          <w:i/>
          <w:iCs/>
          <w:color w:val="666666"/>
          <w:sz w:val="18"/>
          <w:szCs w:val="18"/>
        </w:rPr>
        <w:t xml:space="preserve"> (Emerald Finance - Revolutioning employee finance (EWA))</w:t>
      </w:r>
      <w:r>
        <w:rPr>
          <w:sz w:val="20"/>
          <w:szCs w:val="20"/>
        </w:rPr>
        <w:br/>
        <w:t xml:space="preserve">: Constructive on valuation -- P/E ~11-12, forward single-digit; missing a guidance is acceptable if growth is still ~40-50%; market has 'forgotten the EWA story'</w:t>
      </w:r>
    </w:p>
    <w:p>
      <w:pPr>
        <w:spacing w:after="100"/>
      </w:pPr>
      <w:r>
        <w:rPr>
          <w:b/>
          <w:bCs/>
          <w:sz w:val="20"/>
          <w:szCs w:val="20"/>
        </w:rPr>
        <w:t xml:space="preserve">2026-07-25 — thakurvi</w:t>
      </w:r>
      <w:r>
        <w:rPr>
          <w:i/>
          <w:iCs/>
          <w:color w:val="666666"/>
          <w:sz w:val="18"/>
          <w:szCs w:val="18"/>
        </w:rPr>
        <w:t xml:space="preserve"> (Emerald Finance - Revolutioning employee finance (EWA))</w:t>
      </w:r>
      <w:r>
        <w:rPr>
          <w:sz w:val="20"/>
          <w:szCs w:val="20"/>
        </w:rPr>
        <w:br/>
        <w:t xml:space="preserve">: NEGATIVE -- sold and switched to Suryoday SFB because the company does not disclose GNPA/NNPA in its investor presentation</w:t>
      </w:r>
    </w:p>
    <w:p>
      <w:pPr>
        <w:spacing w:after="100"/>
      </w:pPr>
      <w:r>
        <w:rPr>
          <w:b/>
          <w:bCs/>
          <w:sz w:val="20"/>
          <w:szCs w:val="20"/>
        </w:rPr>
        <w:t xml:space="preserve">2026-07-29 — firefueled</w:t>
      </w:r>
      <w:r>
        <w:rPr>
          <w:i/>
          <w:iCs/>
          <w:color w:val="666666"/>
          <w:sz w:val="18"/>
          <w:szCs w:val="18"/>
        </w:rPr>
        <w:t xml:space="preserve"> (Emerald Finance - Revolutioning employee finance (EWA))</w:t>
      </w:r>
      <w:r>
        <w:rPr>
          <w:sz w:val="20"/>
          <w:szCs w:val="20"/>
        </w:rPr>
        <w:br/>
        <w:t xml:space="preserve">: NEGATIVE / EXITED -- thread initiator, sold entire holding ~Rs 95 on failed weekly breakout; 'management guided ~10x profit in 2-3 years which isn't happening at all'; warns against averaging down</w:t>
      </w:r>
    </w:p>
    <w:p>
      <w:pPr>
        <w:pStyle w:val="Heading1"/>
        <w:spacing w:after="120" w:before="280"/>
      </w:pPr>
      <w:r>
        <w:t xml:space="preserve">BSE Corporate Actions / Other Red Flags</w:t>
      </w:r>
    </w:p>
    <w:p>
      <w:pPr>
        <w:spacing w:after="120"/>
      </w:pPr>
      <w:r>
        <w:t xml:space="preserve">2020 SEBI adjudication order against promoters -- Sec 15H, ~7-year delay in SAST disclosures, Rs 5 lakh penalty (floor of the penalty matrix), paid within ~7 weeks and disclosed in the 2021 Letter of Offer; on-thread analysis (HarshVijay) treats it as procedural 'noted items, no material concern', not an active/ongoing action. Ongoing disclosure gap: no GNPA/NNPA/ECL/credit-cost/cost-of-funds in investor presentations despite repeated requests. Promoters have been consistent open-market buyers.</w:t>
      </w:r>
    </w:p>
    <w:p>
      <w:pPr>
        <w:pStyle w:val="Heading1"/>
        <w:spacing w:after="120" w:before="280"/>
      </w:pPr>
      <w:r>
        <w:t xml:space="preserve">Bull Case</w:t>
      </w:r>
    </w:p>
    <w:p>
      <w:pPr>
        <w:pStyle w:val="ListParagraph"/>
        <w:numPr>
          <w:ilvl w:val="0"/>
          <w:numId w:val="1"/>
        </w:numPr>
        <w:spacing w:after="60"/>
      </w:pPr>
      <w:r>
        <w:t xml:space="preserve">12 consecutive quarters of revenue growth; PAT +50%+ YoY; ROCE ~21%; near-zero leverage on a lending balance sheet</w:t>
      </w:r>
    </w:p>
    <w:p>
      <w:pPr>
        <w:pStyle w:val="ListParagraph"/>
        <w:numPr>
          <w:ilvl w:val="0"/>
          <w:numId w:val="1"/>
        </w:numPr>
        <w:spacing w:after="60"/>
      </w:pPr>
      <w:r>
        <w:t xml:space="preserve">Capital-light -- ~half the income is fee-based platform/origination revenue for 40+ lenders, not just own-book interest</w:t>
      </w:r>
    </w:p>
    <w:p>
      <w:pPr>
        <w:pStyle w:val="ListParagraph"/>
        <w:numPr>
          <w:ilvl w:val="0"/>
          <w:numId w:val="1"/>
        </w:numPr>
        <w:spacing w:after="60"/>
      </w:pPr>
      <w:r>
        <w:t xml:space="preserve">Cheap: single-digit forward P/E, P/B ~1.75, EV/EBITDA ~7, well below its own pre-EWA multiples</w:t>
      </w:r>
    </w:p>
    <w:p>
      <w:pPr>
        <w:pStyle w:val="ListParagraph"/>
        <w:numPr>
          <w:ilvl w:val="0"/>
          <w:numId w:val="1"/>
        </w:numPr>
        <w:spacing w:after="60"/>
      </w:pPr>
      <w:r>
        <w:t xml:space="preserve">Promoters buying stock in the open market nearly every month</w:t>
      </w:r>
    </w:p>
    <w:p>
      <w:pPr>
        <w:pStyle w:val="ListParagraph"/>
        <w:numPr>
          <w:ilvl w:val="0"/>
          <w:numId w:val="1"/>
        </w:numPr>
        <w:spacing w:after="60"/>
      </w:pPr>
      <w:r>
        <w:t xml:space="preserve">Novel product (EWA) with a real distribution flywheel into MSME and gold-loan cross-sell</w:t>
      </w:r>
    </w:p>
    <w:p>
      <w:pPr>
        <w:pStyle w:val="Heading1"/>
        <w:spacing w:after="120" w:before="280"/>
      </w:pPr>
      <w:r>
        <w:t xml:space="preserve">Bear Case / Key Risks</w:t>
      </w:r>
    </w:p>
    <w:p>
      <w:pPr>
        <w:pStyle w:val="ListParagraph"/>
        <w:numPr>
          <w:ilvl w:val="0"/>
          <w:numId w:val="1"/>
        </w:numPr>
        <w:spacing w:after="60"/>
      </w:pPr>
      <w:r>
        <w:t xml:space="preserve">Management's headline '10x profit in 2-3 years' guidance is not tracking; credibility damaged</w:t>
      </w:r>
    </w:p>
    <w:p>
      <w:pPr>
        <w:pStyle w:val="ListParagraph"/>
        <w:numPr>
          <w:ilvl w:val="0"/>
          <w:numId w:val="1"/>
        </w:numPr>
        <w:spacing w:after="60"/>
      </w:pPr>
      <w:r>
        <w:t xml:space="preserve">No GNPA/NNPA/ECL disclosure -- a basic governance gap for an NBFC; rising unexplained 'impairment of FA'</w:t>
      </w:r>
    </w:p>
    <w:p>
      <w:pPr>
        <w:pStyle w:val="ListParagraph"/>
        <w:numPr>
          <w:ilvl w:val="0"/>
          <w:numId w:val="1"/>
        </w:numPr>
        <w:spacing w:after="60"/>
      </w:pPr>
      <w:r>
        <w:t xml:space="preserve">Thread's own founder (trusted) has exited and turned bearish; another trusted user sold over disclosure</w:t>
      </w:r>
    </w:p>
    <w:p>
      <w:pPr>
        <w:pStyle w:val="ListParagraph"/>
        <w:numPr>
          <w:ilvl w:val="0"/>
          <w:numId w:val="1"/>
        </w:numPr>
        <w:spacing w:after="60"/>
      </w:pPr>
      <w:r>
        <w:t xml:space="preserve">Well-funded competition has entered EWA (Fund My Staff, Refyne, Jiffy) and locked up large enterprises first</w:t>
      </w:r>
    </w:p>
    <w:p>
      <w:pPr>
        <w:pStyle w:val="ListParagraph"/>
        <w:numPr>
          <w:ilvl w:val="0"/>
          <w:numId w:val="1"/>
        </w:numPr>
        <w:spacing w:after="60"/>
      </w:pPr>
      <w:r>
        <w:t xml:space="preserve">Micro-cap with a tiny float -- needs retail to push it past ~Rs 1,000 Cr before institutions can participate</w:t>
      </w:r>
    </w:p>
    <w:p>
      <w:pPr>
        <w:pStyle w:val="ListParagraph"/>
        <w:numPr>
          <w:ilvl w:val="0"/>
          <w:numId w:val="1"/>
        </w:numPr>
        <w:spacing w:after="60"/>
      </w:pPr>
      <w:r>
        <w:t xml:space="preserve">Slow corporate onboarding (~30/quarter); 2020 SEBI order on promoters (resolved, minor)</w:t>
      </w:r>
    </w:p>
    <w:p>
      <w:pPr>
        <w:pStyle w:val="Heading1"/>
        <w:spacing w:after="120" w:before="280"/>
      </w:pPr>
      <w:r>
        <w:t xml:space="preserve">Market-Cap Tier (informational — not a gate in this project)</w:t>
      </w:r>
    </w:p>
    <w:p>
      <w:pPr>
        <w:spacing w:after="120"/>
      </w:pPr>
      <w:r>
        <w:rPr>
          <w:b/>
          <w:bCs/>
        </w:rPr>
        <w:t xml:space="preserve">Micro-cap (~Rs 175-180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weak · TAM: weak · moat: no · valuation: yes  (score 2 / 4)</w:t>
      </w:r>
    </w:p>
    <w:p>
      <w:pPr>
        <w:spacing w:after="120"/>
      </w:pPr>
      <w:r>
        <w:rPr>
          <w:i/>
          <w:iCs/>
          <w:color w:val="666666"/>
          <w:sz w:val="20"/>
          <w:szCs w:val="20"/>
        </w:rPr>
        <w:t xml:space="preserve">EWA product tailwind undermined by well-funded competition (Fund My Staff, Refyne, Jiffy) already locking up large enterprises; management's own '10x in 2-3yrs' guidance not tracking caps tam; no moat evidenced and GNPA/NNPA/ECL non-disclosure is a governance gap; single-digit forward P/E / P/B~1.75 is explicitly cheap — valuation yes.</w:t>
      </w:r>
    </w:p>
    <w:p>
      <w:pPr>
        <w:pStyle w:val="Heading1"/>
        <w:spacing w:after="120" w:before="280"/>
      </w:pPr>
      <w:r>
        <w:t xml:space="preserve">Verdict</w:t>
      </w:r>
    </w:p>
    <w:p>
      <w:pPr>
        <w:spacing w:after="120"/>
      </w:pPr>
      <w:r>
        <w:rPr>
          <w:b/>
          <w:bCs/>
          <w:sz w:val="24"/>
          <w:szCs w:val="24"/>
        </w:rPr>
        <w:t xml:space="preserve">A genuinely fast micro-cap compounder now at single-digit forward P/E, but a missed 10x guidance, missing NPA disclosure, a bearish thread founder and well-funded new competition hold conviction at Low</w:t>
      </w:r>
    </w:p>
    <w:p>
      <w:pPr>
        <w:pStyle w:val="ListParagraph"/>
        <w:numPr>
          <w:ilvl w:val="0"/>
          <w:numId w:val="1"/>
        </w:numPr>
        <w:spacing w:after="60"/>
      </w:pPr>
      <w:r>
        <w:t xml:space="preserve">The recent-quarter trend (12 straight quarters up, PAT +50% YoY) plus a tiny base and a novel product justify a 10x-in-2-3-years tag under the open-screen small-cap inflection rule -- but only at Low conviction and explicitly 'unconfirmed', because the qualitative picture is weak: management's own guidance is being missed, an NBFC that won't publish GNPA is a governance yellow flag, and the trusted user who founded the thread has exited and turned negative.</w:t>
      </w:r>
    </w:p>
    <w:p>
      <w:pPr>
        <w:pStyle w:val="ListParagraph"/>
        <w:numPr>
          <w:ilvl w:val="0"/>
          <w:numId w:val="1"/>
        </w:numPr>
        <w:spacing w:after="60"/>
      </w:pPr>
      <w:r>
        <w:t xml:space="preserve">Red-flag check: no AVOID / HIGH CAUTION / EXCLUDE. The 2020 SEBI order is resolved and minor; the NPA-disclosure gap is a concern but not a defined red-flag tier.</w:t>
      </w:r>
    </w:p>
    <w:p>
      <w:pPr>
        <w:pStyle w:val="ListParagraph"/>
        <w:numPr>
          <w:ilvl w:val="0"/>
          <w:numId w:val="1"/>
        </w:numPr>
        <w:spacing w:after="60"/>
      </w:pPr>
      <w:r>
        <w:t xml:space="preserve">Conviction floor: not applicable -- no core-tier trusted signal; the elevated-tier signals here are net mildly negative and are treated as informational only.</w:t>
      </w:r>
    </w:p>
    <w:p>
      <w:pPr>
        <w:pStyle w:val="ListParagraph"/>
        <w:numPr>
          <w:ilvl w:val="0"/>
          <w:numId w:val="1"/>
        </w:numPr>
        <w:spacing w:after="60"/>
      </w:pPr>
      <w:r>
        <w:t xml:space="preserve">theme match: no live-theme keyword hit in discovery (recency discovery).</w:t>
      </w:r>
    </w:p>
    <w:p>
      <w:pPr>
        <w:pStyle w:val="ListParagraph"/>
        <w:numPr>
          <w:ilvl w:val="0"/>
          <w:numId w:val="1"/>
        </w:numPr>
        <w:spacing w:after="60"/>
      </w:pPr>
      <w:r>
        <w:t xml:space="preserve">Re-check only if the company starts disclosing asset quality AND lands a large-enterprise anchor client that visibly re-accelerates onboarding.</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2026-09-09T18:20:29.060Z</dcterms:created>
  <dcterms:modified xsi:type="dcterms:W3CDTF">2026-09-09T18:20:29.061Z</dcterms:modified>
</cp:coreProperties>
</file>

<file path=docProps/custom.xml><?xml version="1.0" encoding="utf-8"?>
<Properties xmlns="http://schemas.openxmlformats.org/officeDocument/2006/custom-properties" xmlns:vt="http://schemas.openxmlformats.org/officeDocument/2006/docPropsVTypes"/>
</file>