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Escorts Kubota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high-quality, cash-rich agri-machinery and construction-equipment maker with Kubota as parent and a genuine tractor/CE up-cycle - but a ~Rs 34,000 Cr large-cap whose size, not its quality, keeps it out of the 10x/100x mandate.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Three segments: agri-machinery / tractors (~70% of revenue, the #3-#4 domestic brand), construction equipment (~19% - backhoe loaders, pick-n-carry cranes, compactors), and railway equipment (~11% - braking systems, couplers, suspension). Kubota Corporation (Japan) is the controlling shareholder and is progressively integrating Escorts into its global agri-machinery R&amp;D, sourcing and export network. Seeded via theme-scan 2026-09-09 (user-authorised 1x no-self-discovery bypass), construction &amp; earthmoving-equipment theme; @suru27 flagged very strong August-2026 CE retail (ACE / Escorts / Ajax / Indo Farm).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33,700 Cr (large-cap)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2,700 - Rs 4,180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~13.9% ROCE / ~18.7% ROE (standalone); consol ROE ~12%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growth</w:t>
            </w:r>
          </w:p>
        </w:tc>
        <w:tc>
          <w:tcPr>
            <w:tcW w:type="dxa" w:w="5800"/>
          </w:tcPr>
          <w:p>
            <w:r>
              <w:t xml:space="preserve">~19.6% profit CAGR over 5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 (D/E ~0.01); large net cash / investments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Demand</w:t>
            </w:r>
          </w:p>
        </w:tc>
        <w:tc>
          <w:tcPr>
            <w:tcW w:type="dxa" w:w="5800"/>
          </w:tcPr>
          <w:p>
            <w:r>
              <w:t xml:space="preserve">Strong August-2026 construction-equipment retail; tractor cycle recovering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Escorts Kubota is a legitimately good business - ~19% profit CAGR, ~19% standalone ROE, a fortress balance sheet, a marquee parent, and a cyclical tailwind in both tractors (rural recovery) and construction equipment (infra capex, strong Aug-2026 retail). The Kubota integration - using India as a global manufacturing and export base - is a real structural angle. But none of that changes the arithmetic: a ~Rs 34,000 Cr company delivering 10x means ~Rs 3.4 lakh Cr, and 100x is absurd. It is a compounder to own for 12-15% returns, not a screen candidate.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Mid-range within a wide 52-week band; not pulled in detail - the verdict turns on size, not the chart.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Escorts Kubota ValuePickr thread resolved with confidence (search returned ACE and Pricol threads, not an Escorts one). topic_slug left null. Assessment is web/fundamentals-based, appropriate for a widely-covered large-cap.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trusted-user activity found. External signal: @suru27 (X) flagged strong August-2026 CE retail across ACE/Escorts/Ajax/Indo Farm - a sector-demand datapoint, not a company-specific conviction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 action. Kubota is the controlling shareholder; related-party transactions (technology, exports, sourcing) are a governance item to watch but are within a normal parent-subsidiary framework. Cash-rich balance sheet raises a capital-allocation question (buyback / special dividend / M&amp;A).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~19% profit CAGR, ~19% standalone ROE, almost debt-free, large net cash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Kubota parent integrating Escorts as a global agri-machinery manufacturing &amp; export hub - a structural volume/mix tailwind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Dual cyclical tailwind: rural/tractor recovery + strong construction-equipment retail (Aug-2026)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Railway-equipment segment adds a non-cyclical growth leg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34,000 Cr market cap - 10x/100x is arithmetically out of reach; fails the return-magnitude bar on size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Tractors and CE are cyclical; margins compress in downturns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#3-#4 tractor brand - trails M&amp;M and TAFE on share and pricing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Cash-rich but historically conservative on returning capital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(~28-30x earnings) already reflects the quality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33,700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yes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tam = no on genuine large-cap size (~Rs 34,000 Cr). tailwind yes (tractor + CE up-cycle + Kubota global-hub integration), moat yes (brand, dealer network, Kubota tech/export access), valuation weak (~28-30x already reflects quality). Kubota-integration inflection noted but does not lift the label off 'neither' given the size math.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genuinely high-quality, cash-rich cyclical with a Kubota-integration tailwind - but a large-cap whose size, not its quality, makes 10x/100x implausible. thesis_fit 'neither',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four_box: tailwind yes (dual tractor + construction-equipment up-cycle, plus the Kubota global-hub integration is a real multi-year driver), tam no (genuine large-cap ~Rs 34,000 Cr - cannot deliver the required multiple), moat yes (established Escorts brand + dealer network, Kubota technology and export access, railway-equipment niche), valuation weak (~28-30x earnings already prices the quality; not demanding, not cheap) -&gt; score 2.5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2.0-2.5: the large-cap named-inflection exception was considered - the Kubota global-manufacturing-hub integration is a plausible capital-allocation / industry-structure shift - but the return-magnitude math still fails badly off a ~Rs 34,000 Cr base and the exception is meant for cases where the label genuinely changes the max-returns picture. Label kept 'neither'; the Kubota angle is noted for the quality/large-cap watch list.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Medium: clearly the highest-quality business in this batch (balance sheet, returns, parent, growth), but it is a compounder, not a 10x - Medium reflects 'own for steady returns, not for the screen's mandate'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Seeded via construction &amp; earthmoving-equipment theme (external lead, user-authorised bypass); no value_chain block (OEM position self-evident, no deep read performed)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tier (solvent, debt-free, profitable, marquee parent)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2026-09-10T03:29:27.423Z</dcterms:created>
  <dcterms:modified xsi:type="dcterms:W3CDTF">2026-09-10T03:29:27.424Z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