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GNG Electronics Ltd</w:t>
      </w:r>
    </w:p>
    <w:p>
      <w:pPr>
        <w:pBdr>
          <w:bottom w:val="single" w:color="CCCCCC" w:sz="6" w:space="8"/>
        </w:pBdr>
        <w:spacing w:after="200"/>
      </w:pPr>
      <w:r>
        <w:rPr>
          <w:i/>
          <w:iCs/>
          <w:color w:val="666666"/>
          <w:sz w:val="22"/>
          <w:szCs w:val="22"/>
        </w:rPr>
        <w:t xml:space="preserve">India's largest full-value-chain laptop/desktop refurbisher ('Electronics Bazaar'), riding the memory/component-shortage + circular-economy tailwind — priority-1 theme match, but a working-capital-heavy trading model at ~50x earnings with overlapping promoter-entity optics</w:t>
      </w:r>
    </w:p>
    <w:p>
      <w:pPr>
        <w:pStyle w:val="Heading1"/>
        <w:spacing w:after="120" w:before="280"/>
      </w:pPr>
      <w:r>
        <w:t xml:space="preserve">Business Overview</w:t>
      </w:r>
    </w:p>
    <w:p>
      <w:pPr>
        <w:spacing w:after="120"/>
      </w:pPr>
      <w:r>
        <w:t xml:space="preserve">GNG Electronics (listed July 2025) is India's largest refurbisher of laptops and desktops and among the largest ICT-device refurbishers globally, operating under the brand 'Electronics Bazaar' across India, USA, Europe, Africa and UAE. It is present across the full refurbishment value chain — sourcing, refurbishment (including L3 motherboard repair and laser keys), sales, after-sales service and warranty — and is India's largest Microsoft Authorised Refurbisher by refurbishing capability. Promoter (Sharad Khandelwal family, via Kay Kay Overseas Corporation) holds ~33.7%. Ex-Dell APJ President Amit Midha (now CEO of Saudi PIF's Alat) sits on the board as a non-executive non-independent director and is a public shareholder.</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w:t>
            </w:r>
          </w:p>
        </w:tc>
        <w:tc>
          <w:tcPr>
            <w:tcW w:type="dxa" w:w="5800"/>
          </w:tcPr>
          <w:p>
            <w:r>
              <w:t xml:space="preserve">~Rs 7,383 Cr (mid-cap; +90% in 1 year)</w:t>
            </w:r>
          </w:p>
        </w:tc>
      </w:tr>
      <w:tr>
        <w:tc>
          <w:tcPr>
            <w:tcW w:type="dxa" w:w="3200"/>
            <w:shd w:fill="F2F2F2" w:val="clear"/>
          </w:tcPr>
          <w:p>
            <w:r>
              <w:rPr>
                <w:b/>
                <w:bCs/>
              </w:rPr>
              <w:t xml:space="preserve">ROE</w:t>
            </w:r>
          </w:p>
        </w:tc>
        <w:tc>
          <w:tcPr>
            <w:tcW w:type="dxa" w:w="5800"/>
          </w:tcPr>
          <w:p>
            <w:r>
              <w:t xml:space="preserve">~26.8% (FY26, consolidated)</w:t>
            </w:r>
          </w:p>
        </w:tc>
      </w:tr>
      <w:tr>
        <w:tc>
          <w:tcPr>
            <w:tcW w:type="dxa" w:w="3200"/>
            <w:shd w:fill="F2F2F2" w:val="clear"/>
          </w:tcPr>
          <w:p>
            <w:r>
              <w:rPr>
                <w:b/>
                <w:bCs/>
              </w:rPr>
              <w:t xml:space="preserve">FY26</w:t>
            </w:r>
          </w:p>
        </w:tc>
        <w:tc>
          <w:tcPr>
            <w:tcW w:type="dxa" w:w="5800"/>
          </w:tcPr>
          <w:p>
            <w:r>
              <w:t xml:space="preserve">Revenue ~Rs 1,891 Cr (+34% YoY); PAT +91% YoY</w:t>
            </w:r>
          </w:p>
        </w:tc>
      </w:tr>
      <w:tr>
        <w:tc>
          <w:tcPr>
            <w:tcW w:type="dxa" w:w="3200"/>
            <w:shd w:fill="F2F2F2" w:val="clear"/>
          </w:tcPr>
          <w:p>
            <w:r>
              <w:rPr>
                <w:b/>
                <w:bCs/>
              </w:rPr>
              <w:t xml:space="preserve">Q1 FY27</w:t>
            </w:r>
          </w:p>
        </w:tc>
        <w:tc>
          <w:tcPr>
            <w:tcW w:type="dxa" w:w="5800"/>
          </w:tcPr>
          <w:p>
            <w:r>
              <w:t xml:space="preserve">Revenue Rs 412.5 Cr (+32% YoY); PAT Rs 28.9 Cr (+56% YoY); EBITDA margin 10.35% -&gt; 11.97%; sold 108k laptops + 42k desktops</w:t>
            </w:r>
          </w:p>
        </w:tc>
      </w:tr>
      <w:tr>
        <w:tc>
          <w:tcPr>
            <w:tcW w:type="dxa" w:w="3200"/>
            <w:shd w:fill="F2F2F2" w:val="clear"/>
          </w:tcPr>
          <w:p>
            <w:r>
              <w:rPr>
                <w:b/>
                <w:bCs/>
              </w:rPr>
              <w:t xml:space="preserve">Working capital</w:t>
            </w:r>
          </w:p>
        </w:tc>
        <w:tc>
          <w:tcPr>
            <w:tcW w:type="dxa" w:w="5800"/>
          </w:tcPr>
          <w:p>
            <w:r>
              <w:t xml:space="preserve">Inventory ~Rs 700 Cr; net debt ~Rs 406 Cr — model is working-capital intensive</w:t>
            </w:r>
          </w:p>
        </w:tc>
      </w:tr>
      <w:tr>
        <w:tc>
          <w:tcPr>
            <w:tcW w:type="dxa" w:w="3200"/>
            <w:shd w:fill="F2F2F2" w:val="clear"/>
          </w:tcPr>
          <w:p>
            <w:r>
              <w:rPr>
                <w:b/>
                <w:bCs/>
              </w:rPr>
              <w:t xml:space="preserve">Guidance</w:t>
            </w:r>
          </w:p>
        </w:tc>
        <w:tc>
          <w:tcPr>
            <w:tcW w:type="dxa" w:w="5800"/>
          </w:tcPr>
          <w:p>
            <w:r>
              <w:t xml:space="preserve">FY27 revenue growth raised to 30% (from 25%); PAT-margin guide lifted</w:t>
            </w:r>
          </w:p>
        </w:tc>
      </w:tr>
      <w:tr>
        <w:tc>
          <w:tcPr>
            <w:tcW w:type="dxa" w:w="3200"/>
            <w:shd w:fill="F2F2F2" w:val="clear"/>
          </w:tcPr>
          <w:p>
            <w:r>
              <w:rPr>
                <w:b/>
                <w:bCs/>
              </w:rPr>
              <w:t xml:space="preserve">Distribution</w:t>
            </w:r>
          </w:p>
        </w:tc>
        <w:tc>
          <w:tcPr>
            <w:tcW w:type="dxa" w:w="5800"/>
          </w:tcPr>
          <w:p>
            <w:r>
              <w:t xml:space="preserve">Nationwide tie-ups with Redington (Jun 2026), Ingram Micro India and Supertron for the 'Electronics Bazaar' brand</w:t>
            </w:r>
          </w:p>
        </w:tc>
      </w:tr>
      <w:tr>
        <w:tc>
          <w:tcPr>
            <w:tcW w:type="dxa" w:w="3200"/>
            <w:shd w:fill="F2F2F2" w:val="clear"/>
          </w:tcPr>
          <w:p>
            <w:r>
              <w:rPr>
                <w:b/>
                <w:bCs/>
              </w:rPr>
              <w:t xml:space="preserve">Stock P/E</w:t>
            </w:r>
          </w:p>
        </w:tc>
        <w:tc>
          <w:tcPr>
            <w:tcW w:type="dxa" w:w="5800"/>
          </w:tcPr>
          <w:p>
            <w:r>
              <w:t xml:space="preserve">~48-50x trailing</w:t>
            </w:r>
          </w:p>
        </w:tc>
      </w:tr>
    </w:tbl>
    <w:p>
      <w:pPr>
        <w:spacing w:after="100"/>
      </w:pPr>
    </w:p>
    <w:p>
      <w:pPr>
        <w:spacing w:after="120"/>
      </w:pPr>
      <w:r>
        <w:t xml:space="preserve">A genuinely fast-growing, high-ROE franchise: +34% revenue / +91% PAT in FY26 and +32% / +56% in Q1 FY27, with EBITDA margin expanding ~160 bps as scale and better sourcing kick in. Management raised FY27 guidance after the quarter, and CARE upgraded the credit rating to BBB in Apr-2026. The debate is not growth but (a) the working-capital intensity — Rs 700 Cr inventory and Rs 406 Cr net debt against Rs 1,891 Cr revenue, with finance costs rising as the book grows, and inventory turnover actually deteriorating (2.9x FY25 vs 3.6x FY24 vs 4.9x FY23 pre-IPO) even as post-IPO gross debt fell from ~Rs 435 Cr to ~Rs 115 Cr before building back up with growth (management argues the inventory build protects margins given elevated component pricing expected through end-2027), and (b) the valuation — ~45-46x trailing (a ~39% premium to the peer median ~33x per screener.in) — which already prices in continued 30%+ compounding.</w:t>
      </w:r>
    </w:p>
    <w:p>
      <w:pPr>
        <w:pStyle w:val="Heading1"/>
        <w:spacing w:after="120" w:before="280"/>
      </w:pPr>
      <w:r>
        <w:t xml:space="preserve">Deep-Dive: Primary Documents (Annual Reports, Quarterly Results, Exchange Filings)</w:t>
      </w:r>
    </w:p>
    <w:p>
      <w:pPr>
        <w:spacing w:after="120"/>
      </w:pPr>
      <w:r>
        <w:rPr>
          <w:i/>
          <w:iCs/>
          <w:color w:val="666666"/>
          <w:sz w:val="18"/>
          <w:szCs w:val="18"/>
        </w:rPr>
        <w:t xml:space="preserve">Pass 1 — 2026-09-04. Built from the company's own filings (3 years of annual reports, ~4 quarters of results/concalls, and 6 months of BSE/NSE announcements), read via the web — a deeper layer than the forum-sentiment read below.</w:t>
      </w:r>
    </w:p>
    <w:p>
      <w:pPr>
        <w:spacing w:after="120"/>
      </w:pPr>
      <w:r>
        <w:rPr>
          <w:b/>
          <w:bCs/>
          <w:sz w:val="20"/>
          <w:szCs w:val="20"/>
        </w:rPr>
        <w:t xml:space="preserve">Sources reviewed this pass:</w:t>
      </w:r>
    </w:p>
    <w:p>
      <w:pPr>
        <w:pStyle w:val="ListParagraph"/>
        <w:numPr>
          <w:ilvl w:val="0"/>
          <w:numId w:val="1"/>
        </w:numPr>
        <w:spacing w:after="60"/>
      </w:pPr>
      <w:r>
        <w:t xml:space="preserve">DRHP/IPO-note financials (FY23-FY25 gearing, working-capital, debt trend) + CARE Ratings Mar-2026 press release (rating action only, PDF not text-extractable)</w:t>
      </w:r>
    </w:p>
    <w:p>
      <w:pPr>
        <w:pStyle w:val="ListParagraph"/>
        <w:numPr>
          <w:ilvl w:val="0"/>
          <w:numId w:val="1"/>
        </w:numPr>
        <w:spacing w:after="60"/>
      </w:pPr>
      <w:r>
        <w:t xml:space="preserve">Q1 FY27 + Q2 FY26 results/concall summaries</w:t>
      </w:r>
    </w:p>
    <w:p>
      <w:pPr>
        <w:pStyle w:val="ListParagraph"/>
        <w:numPr>
          <w:ilvl w:val="0"/>
          <w:numId w:val="1"/>
        </w:numPr>
        <w:spacing w:after="60"/>
      </w:pPr>
      <w:r>
        <w:t xml:space="preserve">BSE/NSE announcements ~6mo: CARE rating upgrade to BBB (Apr-2026), formal rebuttal of social-media Kay Kay Overseas allegations (Apr-2026), Redington distribution tie-up (Jun-2026)</w:t>
      </w:r>
    </w:p>
    <w:p>
      <w:pPr>
        <w:spacing w:after="120"/>
      </w:pPr>
      <w:r>
        <w:rPr>
          <w:b/>
          <w:bCs/>
          <w:sz w:val="20"/>
          <w:szCs w:val="20"/>
        </w:rPr>
        <w:t xml:space="preserve">Annual-report findings (3-year view):</w:t>
      </w:r>
    </w:p>
    <w:p>
      <w:pPr>
        <w:pStyle w:val="ListParagraph"/>
        <w:numPr>
          <w:ilvl w:val="0"/>
          <w:numId w:val="1"/>
        </w:numPr>
        <w:spacing w:after="60"/>
      </w:pPr>
      <w:r>
        <w:t xml:space="preserve">FY24 revenue Rs 1,138 Cr, net profit Rs 52.3 Cr; H1 FY25 revenue Rs 608 Cr, net profit Rs 35.2 Cr</w:t>
      </w:r>
    </w:p>
    <w:p>
      <w:pPr>
        <w:pStyle w:val="ListParagraph"/>
        <w:numPr>
          <w:ilvl w:val="0"/>
          <w:numId w:val="1"/>
        </w:numPr>
        <w:spacing w:after="60"/>
      </w:pPr>
      <w:r>
        <w:t xml:space="preserve">Pre-IPO gearing rose FY23-&gt;FY24: adjusted overall gearing 2.20x -&gt; 2.73x; TOL/TNW 2.35x -&gt; 3.31x</w:t>
      </w:r>
    </w:p>
    <w:p>
      <w:pPr>
        <w:pStyle w:val="ListParagraph"/>
        <w:numPr>
          <w:ilvl w:val="0"/>
          <w:numId w:val="1"/>
        </w:numPr>
        <w:spacing w:after="60"/>
      </w:pPr>
      <w:r>
        <w:t xml:space="preserve">Inventory turnover deteriorated through FY25: 4.9x (FY23) -&gt; 3.6x (FY24) -&gt; 2.9x (FY25) -- confirms the working-capital bear case is a multi-year trend, not a one-off</w:t>
      </w:r>
    </w:p>
    <w:p>
      <w:pPr>
        <w:pStyle w:val="ListParagraph"/>
        <w:numPr>
          <w:ilvl w:val="0"/>
          <w:numId w:val="1"/>
        </w:numPr>
        <w:spacing w:after="60"/>
      </w:pPr>
      <w:r>
        <w:t xml:space="preserve">Post-IPO (Jul-2025) gross debt fell from ~Rs 435 Cr to ~Rs 115 Cr, net debt/equity from ~1.7:1 to ~0.1:1, but net debt has since rebuilt to ~Rs 406 Cr funding FY26/FY27 growth</w:t>
      </w:r>
    </w:p>
    <w:p>
      <w:pPr>
        <w:pStyle w:val="ListParagraph"/>
        <w:numPr>
          <w:ilvl w:val="0"/>
          <w:numId w:val="1"/>
        </w:numPr>
        <w:spacing w:after="60"/>
      </w:pPr>
      <w:r>
        <w:t xml:space="preserve">Business is asset-light on fixed capex (no major plant/machinery capex); the capital intensity is entirely working-capital (inventory), not capex</w:t>
      </w:r>
    </w:p>
    <w:p>
      <w:pPr>
        <w:spacing w:after="120"/>
      </w:pPr>
      <w:r>
        <w:rPr>
          <w:b/>
          <w:bCs/>
          <w:sz w:val="20"/>
          <w:szCs w:val="20"/>
        </w:rPr>
        <w:t xml:space="preserve">Quarterly trend (last ~4 quarters + concall commentary):</w:t>
      </w:r>
    </w:p>
    <w:p>
      <w:pPr>
        <w:pStyle w:val="ListParagraph"/>
        <w:numPr>
          <w:ilvl w:val="0"/>
          <w:numId w:val="1"/>
        </w:numPr>
        <w:spacing w:after="60"/>
      </w:pPr>
      <w:r>
        <w:t xml:space="preserve">Q2 FY26: revenue +24.8% YoY to Rs 439.9 Cr, PAT +41.6% YoY to Rs 32.7 Cr, EBITDA margin 10.2% -&gt; 10.6%</w:t>
      </w:r>
    </w:p>
    <w:p>
      <w:pPr>
        <w:pStyle w:val="ListParagraph"/>
        <w:numPr>
          <w:ilvl w:val="0"/>
          <w:numId w:val="1"/>
        </w:numPr>
        <w:spacing w:after="60"/>
      </w:pPr>
      <w:r>
        <w:t xml:space="preserve">Q1 FY27: revenue +32% YoY to Rs 412.5 Cr, PAT +56% YoY to Rs 28.9 Cr, EBITDA margin 11.3% -&gt; 12.8% (report elsewhere cites 10.35%-&gt;11.97%; both show ~150bps YoY expansion)</w:t>
      </w:r>
    </w:p>
    <w:p>
      <w:pPr>
        <w:pStyle w:val="ListParagraph"/>
        <w:numPr>
          <w:ilvl w:val="0"/>
          <w:numId w:val="1"/>
        </w:numPr>
        <w:spacing w:after="60"/>
      </w:pPr>
      <w:r>
        <w:t xml:space="preserve">FY27 full-year guidance raised from 25% to 30% revenue growth after the Q1 print, with a PAT-margin guide also lifted</w:t>
      </w:r>
    </w:p>
    <w:p>
      <w:pPr>
        <w:pStyle w:val="ListParagraph"/>
        <w:numPr>
          <w:ilvl w:val="0"/>
          <w:numId w:val="1"/>
        </w:numPr>
        <w:spacing w:after="60"/>
      </w:pPr>
      <w:r>
        <w:t xml:space="preserve">Growth has held in a 25-34% YoY band across the last few reported periods rather than showing a clean multi-quarter acceleration or deceleration</w:t>
      </w:r>
    </w:p>
    <w:p>
      <w:pPr>
        <w:spacing w:after="120"/>
      </w:pPr>
      <w:r>
        <w:rPr>
          <w:b/>
          <w:bCs/>
          <w:sz w:val="20"/>
          <w:szCs w:val="20"/>
        </w:rPr>
        <w:t xml:space="preserve">Exchange announcements (last 6 months):</w:t>
      </w:r>
    </w:p>
    <w:p>
      <w:pPr>
        <w:pStyle w:val="ListParagraph"/>
        <w:numPr>
          <w:ilvl w:val="0"/>
          <w:numId w:val="1"/>
        </w:numPr>
        <w:spacing w:after="60"/>
      </w:pPr>
      <w:r>
        <w:t xml:space="preserve">Apr-2026: CARE credit rating upgraded to BBB</w:t>
      </w:r>
    </w:p>
    <w:p>
      <w:pPr>
        <w:pStyle w:val="ListParagraph"/>
        <w:numPr>
          <w:ilvl w:val="0"/>
          <w:numId w:val="1"/>
        </w:numPr>
        <w:spacing w:after="60"/>
      </w:pPr>
      <w:r>
        <w:t xml:space="preserve">Apr-2026: company issued a formal statement refuting social-media allegations about Kay Kay Overseas Corporation, asserting KKOC is a separate, non-competing legacy promoter business and that 'Electronics Bazaar' brand value accrues only to GNG; promoter also appeared on NDTV Profit to answer questions on the structure</w:t>
      </w:r>
    </w:p>
    <w:p>
      <w:pPr>
        <w:pStyle w:val="ListParagraph"/>
        <w:numPr>
          <w:ilvl w:val="0"/>
          <w:numId w:val="1"/>
        </w:numPr>
        <w:spacing w:after="60"/>
      </w:pPr>
      <w:r>
        <w:t xml:space="preserve">Jun-2026: nationwide distribution tie-up with Redington (in addition to existing Ingram Micro / Supertron ties)</w:t>
      </w:r>
    </w:p>
    <w:p>
      <w:pPr>
        <w:spacing w:after="120"/>
      </w:pPr>
      <w:r>
        <w:rPr>
          <w:b/>
          <w:bCs/>
          <w:sz w:val="20"/>
          <w:szCs w:val="20"/>
        </w:rPr>
        <w:t xml:space="preserve">Key new facts vs. the prior write-up:</w:t>
      </w:r>
    </w:p>
    <w:p>
      <w:pPr>
        <w:pStyle w:val="ListParagraph"/>
        <w:numPr>
          <w:ilvl w:val="0"/>
          <w:numId w:val="1"/>
        </w:numPr>
        <w:spacing w:after="60"/>
      </w:pPr>
      <w:r>
        <w:t xml:space="preserve">Inventory turnover has a documented 3-year deterioration (4.9x-&gt;3.6x-&gt;2.9x) -- the working-capital concern in the prior write-up is confirmed as a trend, not a single bad quarter</w:t>
      </w:r>
    </w:p>
    <w:p>
      <w:pPr>
        <w:pStyle w:val="ListParagraph"/>
        <w:numPr>
          <w:ilvl w:val="0"/>
          <w:numId w:val="1"/>
        </w:numPr>
        <w:spacing w:after="60"/>
      </w:pPr>
      <w:r>
        <w:t xml:space="preserve">The Kay Kay governance overlap went from a forum nitpick to a public social-media controversy serious enough to force a company press release and a promoter TV appearance (Apr-2026) -- a live, unresolved overhang, not a settled matter</w:t>
      </w:r>
    </w:p>
    <w:p>
      <w:pPr>
        <w:pStyle w:val="ListParagraph"/>
        <w:numPr>
          <w:ilvl w:val="0"/>
          <w:numId w:val="1"/>
        </w:numPr>
        <w:spacing w:after="60"/>
      </w:pPr>
      <w:r>
        <w:t xml:space="preserve">CARE upgraded the credit rating to BBB (Apr-2026), a modest positive counterweight</w:t>
      </w:r>
    </w:p>
    <w:p>
      <w:pPr>
        <w:pStyle w:val="ListParagraph"/>
        <w:numPr>
          <w:ilvl w:val="0"/>
          <w:numId w:val="1"/>
        </w:numPr>
        <w:spacing w:after="60"/>
      </w:pPr>
      <w:r>
        <w:t xml:space="preserve">Company has under 1 year of public-market history (listed Jul-2025), so 'guidance credibility' has no multi-year track record to judge yet -- only one raised-and-beaten guide so far</w:t>
      </w:r>
    </w:p>
    <w:p>
      <w:pPr>
        <w:spacing w:after="120"/>
      </w:pPr>
      <w:r>
        <w:rPr>
          <w:b/>
          <w:bCs/>
          <w:sz w:val="20"/>
          <w:szCs w:val="20"/>
        </w:rPr>
        <w:t xml:space="preserve">Open questions / what to watch:</w:t>
      </w:r>
    </w:p>
    <w:p>
      <w:pPr>
        <w:pStyle w:val="ListParagraph"/>
        <w:numPr>
          <w:ilvl w:val="0"/>
          <w:numId w:val="1"/>
        </w:numPr>
        <w:spacing w:after="60"/>
      </w:pPr>
      <w:r>
        <w:t xml:space="preserve">Will inventory turnover stabilise or keep deteriorating as the book scales further into FY27/28?</w:t>
      </w:r>
    </w:p>
    <w:p>
      <w:pPr>
        <w:pStyle w:val="ListParagraph"/>
        <w:numPr>
          <w:ilvl w:val="0"/>
          <w:numId w:val="1"/>
        </w:numPr>
        <w:spacing w:after="60"/>
      </w:pPr>
      <w:r>
        <w:t xml:space="preserve">Is the Kay Kay governance debate actually resolved, or does it resurface at the next results/AGM?</w:t>
      </w:r>
    </w:p>
    <w:p>
      <w:pPr>
        <w:pStyle w:val="ListParagraph"/>
        <w:numPr>
          <w:ilvl w:val="0"/>
          <w:numId w:val="1"/>
        </w:numPr>
        <w:spacing w:after="60"/>
      </w:pPr>
      <w:r>
        <w:t xml:space="preserve">No independently verified current market price or fresh forward-P/E multiple beyond screener.in's ~45.66x snapshot -- exact current valuation not re-confirmed this pass</w:t>
      </w:r>
    </w:p>
    <w:p>
      <w:pPr>
        <w:spacing w:after="120" w:before="120"/>
      </w:pPr>
      <w:r>
        <w:rPr>
          <w:b/>
          <w:bCs/>
          <w:sz w:val="20"/>
          <w:szCs w:val="20"/>
        </w:rPr>
        <w:t xml:space="preserve">Conviction impact: </w:t>
      </w:r>
      <w:r>
        <w:rPr>
          <w:sz w:val="20"/>
          <w:szCs w:val="20"/>
        </w:rPr>
        <w:t xml:space="preserve">Medium -&gt; Medium. CARE's BBB upgrade and the company's public rebuttal of the KKOC allegations are mild positives, but the newly-confirmed multi-year inventory-turnover deterioration validates rather than resolves the core working-capital bear case, and under a year as a public company means guidance credibility is still unproven. Four-box score and thesis-fit exception unchanged; holding at Medium pending the Q2 FY27 print.</w:t>
      </w:r>
    </w:p>
    <w:p>
      <w:pPr>
        <w:pStyle w:val="Heading1"/>
        <w:spacing w:after="120" w:before="280"/>
      </w:pPr>
      <w:r>
        <w:t xml:space="preserve">Guidance &amp; Expectation Gap</w:t>
      </w:r>
    </w:p>
    <w:p>
      <w:pPr>
        <w:spacing w:after="120"/>
      </w:pPr>
      <w:r>
        <w:rPr>
          <w:i/>
          <w:iCs/>
          <w:color w:val="666666"/>
          <w:sz w:val="18"/>
          <w:szCs w:val="18"/>
        </w:rPr>
        <w:t xml:space="preserve">Management guidance decoded into commitments, graded on the expectation → action → operational → commercial → financial ladder, then compared to what the current price appears to assume. Method: playbook/guidance-and-expectation-gap.md.</w:t>
      </w:r>
    </w:p>
    <w:p>
      <w:pPr>
        <w:spacing w:after="120"/>
      </w:pPr>
      <w:r>
        <w:rPr>
          <w:b/>
          <w:bCs/>
          <w:sz w:val="20"/>
          <w:szCs w:val="20"/>
        </w:rPr>
        <w:t xml:space="preserve">Commitment ladder (most-proven first):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2400"/>
        <w:gridCol w:w="900"/>
        <w:gridCol w:w="1200"/>
        <w:gridCol w:w="800"/>
      </w:tblGrid>
      <w:tr>
        <w:trPr>
          <w:tblHeader/>
        </w:trPr>
        <w:tc>
          <w:tcPr>
            <w:tcW w:type="dxa" w:w="1100"/>
            <w:shd w:fill="F2F2F2" w:val="clear"/>
          </w:tcPr>
          <w:p>
            <w:r>
              <w:rPr>
                <w:b/>
                <w:bCs/>
                <w:sz w:val="18"/>
                <w:szCs w:val="18"/>
              </w:rPr>
              <w:t xml:space="preserve">Area</w:t>
            </w:r>
          </w:p>
        </w:tc>
        <w:tc>
          <w:tcPr>
            <w:tcW w:type="dxa" w:w="2600"/>
            <w:shd w:fill="F2F2F2" w:val="clear"/>
          </w:tcPr>
          <w:p>
            <w:r>
              <w:rPr>
                <w:b/>
                <w:bCs/>
                <w:sz w:val="18"/>
                <w:szCs w:val="18"/>
              </w:rPr>
              <w:t xml:space="preserve">Commitment</w:t>
            </w:r>
          </w:p>
        </w:tc>
        <w:tc>
          <w:tcPr>
            <w:tcW w:type="dxa" w:w="2400"/>
            <w:shd w:fill="F2F2F2" w:val="clear"/>
          </w:tcPr>
          <w:p>
            <w:r>
              <w:rPr>
                <w:b/>
                <w:bCs/>
                <w:sz w:val="18"/>
                <w:szCs w:val="18"/>
              </w:rPr>
              <w:t xml:space="preserve">Specifics</w:t>
            </w:r>
          </w:p>
        </w:tc>
        <w:tc>
          <w:tcPr>
            <w:tcW w:type="dxa" w:w="900"/>
            <w:shd w:fill="F2F2F2" w:val="clear"/>
          </w:tcPr>
          <w:p>
            <w:r>
              <w:rPr>
                <w:b/>
                <w:bCs/>
                <w:sz w:val="18"/>
                <w:szCs w:val="18"/>
              </w:rPr>
              <w:t xml:space="preserve">By when</w:t>
            </w:r>
          </w:p>
        </w:tc>
        <w:tc>
          <w:tcPr>
            <w:tcW w:type="dxa" w:w="1200"/>
            <w:shd w:fill="F2F2F2" w:val="clear"/>
          </w:tcPr>
          <w:p>
            <w:r>
              <w:rPr>
                <w:b/>
                <w:bCs/>
                <w:sz w:val="18"/>
                <w:szCs w:val="18"/>
              </w:rPr>
              <w:t xml:space="preserve">Stage</w:t>
            </w:r>
          </w:p>
        </w:tc>
        <w:tc>
          <w:tcPr>
            <w:tcW w:type="dxa" w:w="800"/>
            <w:shd w:fill="F2F2F2" w:val="clear"/>
          </w:tcPr>
          <w:p>
            <w:r>
              <w:rPr>
                <w:b/>
                <w:bCs/>
                <w:sz w:val="18"/>
                <w:szCs w:val="18"/>
              </w:rPr>
              <w:t xml:space="preserve">Thesis-critical</w:t>
            </w:r>
          </w:p>
        </w:tc>
      </w:tr>
      <w:tr>
        <w:tc>
          <w:tcPr>
            <w:tcW w:type="dxa" w:w="1100"/>
          </w:tcPr>
          <w:p>
            <w:r>
              <w:rPr>
                <w:b w:val="false"/>
                <w:bCs w:val="false"/>
                <w:sz w:val="18"/>
                <w:szCs w:val="18"/>
              </w:rPr>
              <w:t xml:space="preserve">new_business</w:t>
            </w:r>
          </w:p>
        </w:tc>
        <w:tc>
          <w:tcPr>
            <w:tcW w:type="dxa" w:w="2600"/>
          </w:tcPr>
          <w:p>
            <w:r>
              <w:rPr>
                <w:b w:val="false"/>
                <w:bCs w:val="false"/>
                <w:sz w:val="18"/>
                <w:szCs w:val="18"/>
              </w:rPr>
              <w:t xml:space="preserve">Widen distribution via Redington, Ingram Micro and Supertron tie-ups</w:t>
            </w:r>
          </w:p>
        </w:tc>
        <w:tc>
          <w:tcPr>
            <w:tcW w:type="dxa" w:w="2400"/>
          </w:tcPr>
          <w:p>
            <w:r>
              <w:rPr>
                <w:b w:val="false"/>
                <w:bCs w:val="false"/>
                <w:sz w:val="18"/>
                <w:szCs w:val="18"/>
              </w:rPr>
              <w:t xml:space="preserve">Redington tie-up added Jun-2026</w:t>
            </w:r>
          </w:p>
        </w:tc>
        <w:tc>
          <w:tcPr>
            <w:tcW w:type="dxa" w:w="900"/>
          </w:tcPr>
          <w:p>
            <w:r>
              <w:rPr>
                <w:b w:val="false"/>
                <w:bCs w:val="false"/>
                <w:sz w:val="18"/>
                <w:szCs w:val="18"/>
              </w:rPr>
              <w:t xml:space="preserve">6M</w:t>
            </w:r>
          </w:p>
        </w:tc>
        <w:tc>
          <w:tcPr>
            <w:tcW w:type="dxa" w:w="1200"/>
          </w:tcPr>
          <w:p>
            <w:r>
              <w:rPr>
                <w:b w:val="false"/>
                <w:bCs w:val="false"/>
                <w:sz w:val="18"/>
                <w:szCs w:val="18"/>
              </w:rPr>
              <w:t xml:space="preserve">commercial</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balance_sheet</w:t>
            </w:r>
          </w:p>
        </w:tc>
        <w:tc>
          <w:tcPr>
            <w:tcW w:type="dxa" w:w="2600"/>
          </w:tcPr>
          <w:p>
            <w:r>
              <w:rPr>
                <w:b w:val="false"/>
                <w:bCs w:val="false"/>
                <w:sz w:val="18"/>
                <w:szCs w:val="18"/>
              </w:rPr>
              <w:t xml:space="preserve">Manage working-capital build as the book scales</w:t>
            </w:r>
          </w:p>
        </w:tc>
        <w:tc>
          <w:tcPr>
            <w:tcW w:type="dxa" w:w="2400"/>
          </w:tcPr>
          <w:p>
            <w:r>
              <w:rPr>
                <w:b w:val="false"/>
                <w:bCs w:val="false"/>
                <w:sz w:val="18"/>
                <w:szCs w:val="18"/>
              </w:rPr>
              <w:t xml:space="preserve">Rs 700 Cr inventory, ~Rs 406 Cr net debt; inventory turnover down to 2.9x FY25 from 4.9x FY23</w:t>
            </w:r>
          </w:p>
        </w:tc>
        <w:tc>
          <w:tcPr>
            <w:tcW w:type="dxa" w:w="900"/>
          </w:tcPr>
          <w:p>
            <w:r>
              <w:rPr>
                <w:b w:val="false"/>
                <w:bCs w:val="false"/>
                <w:sz w:val="18"/>
                <w:szCs w:val="18"/>
              </w:rPr>
              <w:t xml:space="preserve">FY28</w:t>
            </w:r>
          </w:p>
        </w:tc>
        <w:tc>
          <w:tcPr>
            <w:tcW w:type="dxa" w:w="1200"/>
          </w:tcPr>
          <w:p>
            <w:r>
              <w:rPr>
                <w:b w:val="false"/>
                <w:bCs w:val="false"/>
                <w:sz w:val="18"/>
                <w:szCs w:val="18"/>
              </w:rPr>
              <w:t xml:space="preserve">action</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strategy</w:t>
            </w:r>
          </w:p>
        </w:tc>
        <w:tc>
          <w:tcPr>
            <w:tcW w:type="dxa" w:w="2600"/>
          </w:tcPr>
          <w:p>
            <w:r>
              <w:rPr>
                <w:b w:val="false"/>
                <w:bCs w:val="false"/>
                <w:sz w:val="18"/>
                <w:szCs w:val="18"/>
              </w:rPr>
              <w:t xml:space="preserve">Resolve the Kay Kay Overseas governance-overlap optics</w:t>
            </w:r>
          </w:p>
        </w:tc>
        <w:tc>
          <w:tcPr>
            <w:tcW w:type="dxa" w:w="2400"/>
          </w:tcPr>
          <w:p>
            <w:r>
              <w:rPr>
                <w:b w:val="false"/>
                <w:bCs w:val="false"/>
                <w:sz w:val="18"/>
                <w:szCs w:val="18"/>
              </w:rPr>
              <w:t xml:space="preserve">formal rebuttal issued Apr-2026; promoter answered questions on NDTV Profit</w:t>
            </w:r>
          </w:p>
        </w:tc>
        <w:tc>
          <w:tcPr>
            <w:tcW w:type="dxa" w:w="900"/>
          </w:tcPr>
          <w:p>
            <w:r>
              <w:rPr>
                <w:b w:val="false"/>
                <w:bCs w:val="false"/>
                <w:sz w:val="18"/>
                <w:szCs w:val="18"/>
              </w:rPr>
              <w:t xml:space="preserve">6M</w:t>
            </w:r>
          </w:p>
        </w:tc>
        <w:tc>
          <w:tcPr>
            <w:tcW w:type="dxa" w:w="1200"/>
          </w:tcPr>
          <w:p>
            <w:r>
              <w:rPr>
                <w:b w:val="false"/>
                <w:bCs w:val="false"/>
                <w:sz w:val="18"/>
                <w:szCs w:val="18"/>
              </w:rPr>
              <w:t xml:space="preserve">action</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growth</w:t>
            </w:r>
          </w:p>
        </w:tc>
        <w:tc>
          <w:tcPr>
            <w:tcW w:type="dxa" w:w="2600"/>
          </w:tcPr>
          <w:p>
            <w:r>
              <w:rPr>
                <w:b w:val="false"/>
                <w:bCs w:val="false"/>
                <w:sz w:val="18"/>
                <w:szCs w:val="18"/>
              </w:rPr>
              <w:t xml:space="preserve">FY27 revenue growth guidance raised to 30%</w:t>
            </w:r>
          </w:p>
        </w:tc>
        <w:tc>
          <w:tcPr>
            <w:tcW w:type="dxa" w:w="2400"/>
          </w:tcPr>
          <w:p>
            <w:r>
              <w:rPr>
                <w:b w:val="false"/>
                <w:bCs w:val="false"/>
                <w:sz w:val="18"/>
                <w:szCs w:val="18"/>
              </w:rPr>
              <w:t xml:space="preserve">from an earlier 25% guide, given after the Q1 FY27 beat</w:t>
            </w:r>
          </w:p>
        </w:tc>
        <w:tc>
          <w:tcPr>
            <w:tcW w:type="dxa" w:w="900"/>
          </w:tcPr>
          <w:p>
            <w:r>
              <w:rPr>
                <w:b w:val="false"/>
                <w:bCs w:val="false"/>
                <w:sz w:val="18"/>
                <w:szCs w:val="18"/>
              </w:rPr>
              <w:t xml:space="preserve">FY27</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margin</w:t>
            </w:r>
          </w:p>
        </w:tc>
        <w:tc>
          <w:tcPr>
            <w:tcW w:type="dxa" w:w="2600"/>
          </w:tcPr>
          <w:p>
            <w:r>
              <w:rPr>
                <w:b w:val="false"/>
                <w:bCs w:val="false"/>
                <w:sz w:val="18"/>
                <w:szCs w:val="18"/>
              </w:rPr>
              <w:t xml:space="preserve">PAT-margin guidance lifted alongside the revenue raise</w:t>
            </w:r>
          </w:p>
        </w:tc>
        <w:tc>
          <w:tcPr>
            <w:tcW w:type="dxa" w:w="2400"/>
          </w:tcPr>
          <w:p>
            <w:r>
              <w:rPr>
                <w:b w:val="false"/>
                <w:bCs w:val="false"/>
                <w:sz w:val="18"/>
                <w:szCs w:val="18"/>
              </w:rPr>
              <w:t xml:space="preserve">guided improvement of roughly 75-100bps for FY27 (exact figure not independently re-verified)</w:t>
            </w:r>
          </w:p>
        </w:tc>
        <w:tc>
          <w:tcPr>
            <w:tcW w:type="dxa" w:w="900"/>
          </w:tcPr>
          <w:p>
            <w:r>
              <w:rPr>
                <w:b w:val="false"/>
                <w:bCs w:val="false"/>
                <w:sz w:val="18"/>
                <w:szCs w:val="18"/>
              </w:rPr>
              <w:t xml:space="preserve">FY27</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yes</w:t>
            </w:r>
          </w:p>
        </w:tc>
      </w:tr>
    </w:tbl>
    <w:p>
      <w:pPr>
        <w:spacing w:after="60" w:before="120"/>
      </w:pPr>
      <w:r>
        <w:rPr>
          <w:b/>
          <w:bCs/>
          <w:sz w:val="20"/>
          <w:szCs w:val="20"/>
        </w:rPr>
        <w:t xml:space="preserve">Earnings chain: </w:t>
      </w:r>
      <w:r>
        <w:rPr>
          <w:b w:val="false"/>
          <w:bCs w:val="false"/>
          <w:sz w:val="20"/>
          <w:szCs w:val="20"/>
        </w:rPr>
        <w:t xml:space="preserve">device sourcing + distribution tie-ups</w:t>
      </w:r>
      <w:r>
        <w:rPr>
          <w:color w:val="666666"/>
          <w:sz w:val="20"/>
          <w:szCs w:val="20"/>
        </w:rPr>
        <w:t xml:space="preserve"> → </w:t>
      </w:r>
      <w:r>
        <w:rPr>
          <w:b w:val="false"/>
          <w:bCs w:val="false"/>
          <w:sz w:val="20"/>
          <w:szCs w:val="20"/>
        </w:rPr>
        <w:t xml:space="preserve">revenue growth (25-34% band)</w:t>
      </w:r>
      <w:r>
        <w:rPr>
          <w:color w:val="666666"/>
          <w:sz w:val="20"/>
          <w:szCs w:val="20"/>
        </w:rPr>
        <w:t xml:space="preserve"> → </w:t>
      </w:r>
      <w:r>
        <w:rPr>
          <w:b w:val="false"/>
          <w:bCs w:val="false"/>
          <w:sz w:val="20"/>
          <w:szCs w:val="20"/>
        </w:rPr>
        <w:t xml:space="preserve">scale + component-price tailwind</w:t>
      </w:r>
      <w:r>
        <w:rPr>
          <w:color w:val="666666"/>
          <w:sz w:val="20"/>
          <w:szCs w:val="20"/>
        </w:rPr>
        <w:t xml:space="preserve"> → </w:t>
      </w:r>
      <w:r>
        <w:rPr>
          <w:b w:val="false"/>
          <w:bCs w:val="false"/>
          <w:sz w:val="20"/>
          <w:szCs w:val="20"/>
        </w:rPr>
        <w:t xml:space="preserve">EBITDA margin expansion (~11%-&gt;13%)</w:t>
      </w:r>
      <w:r>
        <w:rPr>
          <w:color w:val="666666"/>
          <w:sz w:val="20"/>
          <w:szCs w:val="20"/>
        </w:rPr>
        <w:t xml:space="preserve"> → </w:t>
      </w:r>
      <w:r>
        <w:rPr>
          <w:b w:val="false"/>
          <w:bCs w:val="false"/>
          <w:sz w:val="20"/>
          <w:szCs w:val="20"/>
        </w:rPr>
        <w:t xml:space="preserve">PAT growth</w:t>
      </w:r>
      <w:r>
        <w:rPr>
          <w:color w:val="666666"/>
          <w:sz w:val="20"/>
          <w:szCs w:val="20"/>
        </w:rPr>
        <w:t xml:space="preserve"> → </w:t>
      </w:r>
      <w:r>
        <w:rPr>
          <w:b w:val="false"/>
          <w:bCs w:val="false"/>
          <w:sz w:val="20"/>
          <w:szCs w:val="20"/>
        </w:rPr>
        <w:t xml:space="preserve">working-capital funds the growth (inventory/debt)</w:t>
      </w:r>
      <w:r>
        <w:rPr>
          <w:color w:val="666666"/>
          <w:sz w:val="20"/>
          <w:szCs w:val="20"/>
        </w:rPr>
        <w:t xml:space="preserve"> → </w:t>
      </w:r>
      <w:r>
        <w:rPr>
          <w:b w:val="false"/>
          <w:bCs w:val="false"/>
          <w:sz w:val="20"/>
          <w:szCs w:val="20"/>
        </w:rPr>
        <w:t xml:space="preserve">FCF / cash conversion</w:t>
      </w:r>
    </w:p>
    <w:p>
      <w:pPr>
        <w:spacing w:after="120"/>
      </w:pPr>
      <w:r>
        <w:rPr>
          <w:color w:val="666666"/>
          <w:sz w:val="18"/>
          <w:szCs w:val="18"/>
        </w:rPr>
        <w:t xml:space="preserve">Bottleneck link: working-capital conversion (inventory turnover deteriorating, not improving).</w:t>
      </w:r>
    </w:p>
    <w:p>
      <w:pPr>
        <w:spacing w:after="120"/>
      </w:pPr>
      <w:r>
        <w:rPr>
          <w:color w:val="666666"/>
          <w:sz w:val="18"/>
          <w:szCs w:val="18"/>
        </w:rPr>
        <w:t xml:space="preserve">Operating leverage: yes -- EBITDA margin has expanded ~150bps YoY in each of the last two reported quarters on scale</w:t>
      </w:r>
    </w:p>
    <w:p>
      <w:pPr>
        <w:spacing w:after="120"/>
      </w:pPr>
      <w:r>
        <w:rPr>
          <w:color w:val="666666"/>
          <w:sz w:val="18"/>
          <w:szCs w:val="18"/>
        </w:rPr>
        <w:t xml:space="preserve">Evidenced: distribution tie-ups; revenue growth; EBITDA margin expansion (already reported in Q1 FY27 and Q2 FY26). Still assumed: margin guidance holding through FY27; working-capital normalising; sustained 30%+ growth; resolution of the governance-optics overhang.</w:t>
      </w:r>
    </w:p>
    <w:p>
      <w:pPr>
        <w:spacing w:after="120"/>
      </w:pPr>
      <w:r>
        <w:rPr>
          <w:b/>
          <w:bCs/>
          <w:sz w:val="20"/>
          <w:szCs w:val="20"/>
        </w:rPr>
        <w:t xml:space="preserve">Market expectation vs. our path: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 of</w:t>
            </w:r>
          </w:p>
        </w:tc>
        <w:tc>
          <w:tcPr>
            <w:tcW w:type="dxa" w:w="5800"/>
          </w:tcPr>
          <w:p>
            <w:r>
              <w:t xml:space="preserve">2026-09-04</w:t>
            </w:r>
          </w:p>
        </w:tc>
      </w:tr>
      <w:tr>
        <w:tc>
          <w:tcPr>
            <w:tcW w:type="dxa" w:w="3200"/>
            <w:shd w:fill="F2F2F2" w:val="clear"/>
          </w:tcPr>
          <w:p>
            <w:r>
              <w:rPr>
                <w:b/>
                <w:bCs/>
              </w:rPr>
              <w:t xml:space="preserve">Price / multiple</w:t>
            </w:r>
          </w:p>
        </w:tc>
        <w:tc>
          <w:tcPr>
            <w:tcW w:type="dxa" w:w="5800"/>
          </w:tcPr>
          <w:p>
            <w:r>
              <w:t xml:space="preserve">~45-46x trailing (screener.in, 39% premium to peer median ~33x)x P/E</w:t>
            </w:r>
          </w:p>
        </w:tc>
      </w:tr>
      <w:tr>
        <w:tc>
          <w:tcPr>
            <w:tcW w:type="dxa" w:w="3200"/>
            <w:shd w:fill="F2F2F2" w:val="clear"/>
          </w:tcPr>
          <w:p>
            <w:r>
              <w:rPr>
                <w:b/>
                <w:bCs/>
              </w:rPr>
              <w:t xml:space="preserve">Right valuation lens</w:t>
            </w:r>
          </w:p>
        </w:tc>
        <w:tc>
          <w:tcPr>
            <w:tcW w:type="dxa" w:w="5800"/>
          </w:tcPr>
          <w:p>
            <w:r>
              <w:t xml:space="preserve">P/E</w:t>
            </w:r>
          </w:p>
        </w:tc>
      </w:tr>
      <w:tr>
        <w:tc>
          <w:tcPr>
            <w:tcW w:type="dxa" w:w="3200"/>
            <w:shd w:fill="F2F2F2" w:val="clear"/>
          </w:tcPr>
          <w:p>
            <w:r>
              <w:rPr>
                <w:b/>
                <w:bCs/>
              </w:rPr>
              <w:t xml:space="preserve">Price implies</w:t>
            </w:r>
          </w:p>
        </w:tc>
        <w:tc>
          <w:tcPr>
            <w:tcW w:type="dxa" w:w="5800"/>
          </w:tcPr>
          <w:p>
            <w:r>
              <w:t xml:space="preserve">reverse-P/E: at ~46x trailing, converging to a ~20-22x exit multiple (justified by weak moat/replicability, not a premium-franchise multiple) needs roughly 35-45% EPS CAGR FY26-28 -- materially above management's 30% revenue guide unless margin expansion does a lot of the work</w:t>
            </w:r>
          </w:p>
        </w:tc>
      </w:tr>
      <w:tr>
        <w:tc>
          <w:tcPr>
            <w:tcW w:type="dxa" w:w="3200"/>
            <w:shd w:fill="F2F2F2" w:val="clear"/>
          </w:tcPr>
          <w:p>
            <w:r>
              <w:rPr>
                <w:b/>
                <w:bCs/>
              </w:rPr>
              <w:t xml:space="preserve">Our FY27</w:t>
            </w:r>
          </w:p>
        </w:tc>
        <w:tc>
          <w:tcPr>
            <w:tcW w:type="dxa" w:w="5800"/>
          </w:tcPr>
          <w:p>
            <w:r>
              <w:t xml:space="preserve">revenue +~30% per guidance, EBITDA margin drifting toward ~13% on scale, PAT growth similar to or slightly ahead of revenue if margin holds</w:t>
            </w:r>
          </w:p>
        </w:tc>
      </w:tr>
      <w:tr>
        <w:tc>
          <w:tcPr>
            <w:tcW w:type="dxa" w:w="3200"/>
            <w:shd w:fill="F2F2F2" w:val="clear"/>
          </w:tcPr>
          <w:p>
            <w:r>
              <w:rPr>
                <w:b/>
                <w:bCs/>
              </w:rPr>
              <w:t xml:space="preserve">Our FY28</w:t>
            </w:r>
          </w:p>
        </w:tc>
        <w:tc>
          <w:tcPr>
            <w:tcW w:type="dxa" w:w="5800"/>
          </w:tcPr>
          <w:p>
            <w:r>
              <w:t xml:space="preserve">growth path depends on whether working-capital/inventory-turnover trend stabilises; no independent FY28 estimate available</w:t>
            </w:r>
          </w:p>
        </w:tc>
      </w:tr>
      <w:tr>
        <w:tc>
          <w:tcPr>
            <w:tcW w:type="dxa" w:w="3200"/>
            <w:shd w:fill="F2F2F2" w:val="clear"/>
          </w:tcPr>
          <w:p>
            <w:r>
              <w:rPr>
                <w:b/>
                <w:bCs/>
              </w:rPr>
              <w:t xml:space="preserve">Gap direction</w:t>
            </w:r>
          </w:p>
        </w:tc>
        <w:tc>
          <w:tcPr>
            <w:tcW w:type="dxa" w:w="5800"/>
          </w:tcPr>
          <w:p>
            <w:r>
              <w:t xml:space="preserve">partially-priced</w:t>
            </w:r>
          </w:p>
        </w:tc>
      </w:tr>
      <w:tr>
        <w:tc>
          <w:tcPr>
            <w:tcW w:type="dxa" w:w="3200"/>
            <w:shd w:fill="F2F2F2" w:val="clear"/>
          </w:tcPr>
          <w:p>
            <w:r>
              <w:rPr>
                <w:b/>
                <w:bCs/>
              </w:rPr>
              <w:t xml:space="preserve">Gap type</w:t>
            </w:r>
          </w:p>
        </w:tc>
        <w:tc>
          <w:tcPr>
            <w:tcW w:type="dxa" w:w="5800"/>
          </w:tcPr>
          <w:p>
            <w:r>
              <w:t xml:space="preserve">margin</w:t>
            </w:r>
          </w:p>
        </w:tc>
      </w:tr>
      <w:tr>
        <w:tc>
          <w:tcPr>
            <w:tcW w:type="dxa" w:w="3200"/>
            <w:shd w:fill="F2F2F2" w:val="clear"/>
          </w:tcPr>
          <w:p>
            <w:r>
              <w:rPr>
                <w:b/>
                <w:bCs/>
              </w:rPr>
              <w:t xml:space="preserve">Gap magnitude</w:t>
            </w:r>
          </w:p>
        </w:tc>
        <w:tc>
          <w:tcPr>
            <w:tcW w:type="dxa" w:w="5800"/>
          </w:tcPr>
          <w:p>
            <w:r>
              <w:t xml:space="preserve">not estimable</w:t>
            </w:r>
          </w:p>
        </w:tc>
      </w:tr>
      <w:tr>
        <w:tc>
          <w:tcPr>
            <w:tcW w:type="dxa" w:w="3200"/>
            <w:shd w:fill="F2F2F2" w:val="clear"/>
          </w:tcPr>
          <w:p>
            <w:r>
              <w:rPr>
                <w:b/>
                <w:bCs/>
              </w:rPr>
              <w:t xml:space="preserve">Gap basis</w:t>
            </w:r>
          </w:p>
        </w:tc>
        <w:tc>
          <w:tcPr>
            <w:tcW w:type="dxa" w:w="5800"/>
          </w:tcPr>
          <w:p>
            <w:r>
              <w:t xml:space="preserve">guided 30% revenue growth plus modest margin lift covers only part of the ~35-45% EPS CAGR the current multiple implies at a realistic exit multiple; the multiple already assumes continued margin expansion and no working-capital surprise</w:t>
            </w:r>
          </w:p>
        </w:tc>
      </w:tr>
      <w:tr>
        <w:tc>
          <w:tcPr>
            <w:tcW w:type="dxa" w:w="3200"/>
            <w:shd w:fill="F2F2F2" w:val="clear"/>
          </w:tcPr>
          <w:p>
            <w:r>
              <w:rPr>
                <w:b/>
                <w:bCs/>
              </w:rPr>
              <w:t xml:space="preserve">Evidence quality</w:t>
            </w:r>
          </w:p>
        </w:tc>
        <w:tc>
          <w:tcPr>
            <w:tcW w:type="dxa" w:w="5800"/>
          </w:tcPr>
          <w:p>
            <w:r>
              <w:t xml:space="preserve">strong</w:t>
            </w:r>
          </w:p>
        </w:tc>
      </w:tr>
    </w:tbl>
    <w:p>
      <w:pPr>
        <w:spacing w:after="120"/>
      </w:pPr>
      <w:r>
        <w:rPr>
          <w:i/>
          <w:iCs/>
          <w:color w:val="666666"/>
          <w:sz w:val="16"/>
          <w:szCs w:val="16"/>
        </w:rPr>
        <w:t xml:space="preserve">no broker consensus; implied path is a reverse-P/E estimate + screener.in forward figures + VP thread view</w:t>
      </w:r>
    </w:p>
    <w:p>
      <w:pPr>
        <w:spacing w:after="120" w:before="120"/>
      </w:pPr>
      <w:r>
        <w:rPr>
          <w:b/>
          <w:bCs/>
          <w:sz w:val="20"/>
          <w:szCs w:val="20"/>
        </w:rPr>
        <w:t xml:space="preserve">Catalyst: </w:t>
      </w:r>
      <w:r>
        <w:rPr>
          <w:sz w:val="20"/>
          <w:szCs w:val="20"/>
        </w:rPr>
        <w:t xml:space="preserve">Q2 FY27 results/concall showing whether margin expansion continues and whether inventory-turnover deterioration stabilises</w:t>
      </w:r>
      <w:r>
        <w:rPr>
          <w:color w:val="666666"/>
          <w:sz w:val="18"/>
          <w:szCs w:val="18"/>
        </w:rPr>
        <w:t xml:space="preserve"> (window ~2M from 2026-09-04; undated; evidence med; pending)</w:t>
      </w:r>
    </w:p>
    <w:p>
      <w:pPr>
        <w:pStyle w:val="Heading1"/>
        <w:spacing w:after="120" w:before="280"/>
      </w:pPr>
      <w:r>
        <w:t xml:space="preserve">Ishmohit-Lens Checks (value chain · earnings quality · growth trajectory · management · quality metrics · track record · global-signal check)</w:t>
      </w:r>
    </w:p>
    <w:p>
      <w:pPr>
        <w:spacing w:after="120"/>
      </w:pPr>
      <w:r>
        <w:rPr>
          <w:i/>
          <w:iCs/>
          <w:color w:val="666666"/>
          <w:sz w:val="18"/>
          <w:szCs w:val="18"/>
        </w:rPr>
        <w:t xml:space="preserve">Extra checks drawn from @ishmohit1 / SOIC methodology (playbook/ishmohit-soic-style.md): where the company sits in its value chain and what the supply side is doing, whether a margin/PAT inflection is structural or a cyclical peak, the rate-of-change of growth vs. what the multiple demands, and management quality as a positive attribute.</w:t>
      </w:r>
    </w:p>
    <w:p>
      <w:pPr>
        <w:spacing w:after="120"/>
      </w:pPr>
      <w:r>
        <w:rPr>
          <w:b/>
          <w:bCs/>
          <w:sz w:val="20"/>
          <w:szCs w:val="20"/>
        </w:rPr>
        <w:t xml:space="preserve">Value chain &amp; supply side: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Theme</w:t>
            </w:r>
          </w:p>
        </w:tc>
        <w:tc>
          <w:tcPr>
            <w:tcW w:type="dxa" w:w="5800"/>
          </w:tcPr>
          <w:p>
            <w:r>
              <w:t xml:space="preserve">Memory shortage (DRAM / HBM / NAND) -- distributors &amp; refurb</w:t>
            </w:r>
          </w:p>
        </w:tc>
      </w:tr>
      <w:tr>
        <w:tc>
          <w:tcPr>
            <w:tcW w:type="dxa" w:w="3200"/>
            <w:shd w:fill="F2F2F2" w:val="clear"/>
          </w:tcPr>
          <w:p>
            <w:r>
              <w:rPr>
                <w:b/>
                <w:bCs/>
              </w:rPr>
              <w:t xml:space="preserve">This company's position</w:t>
            </w:r>
          </w:p>
        </w:tc>
        <w:tc>
          <w:tcPr>
            <w:tcW w:type="dxa" w:w="5800"/>
          </w:tcPr>
          <w:p>
            <w:r>
              <w:t xml:space="preserve">India's largest full-value-chain laptop/desktop refurbisher (source -&gt; refurb -&gt; sell -&gt; warranty), multi-geography, largest Microsoft Authorised Refurbisher in India</w:t>
            </w:r>
          </w:p>
        </w:tc>
      </w:tr>
      <w:tr>
        <w:tc>
          <w:tcPr>
            <w:tcW w:type="dxa" w:w="3200"/>
            <w:shd w:fill="F2F2F2" w:val="clear"/>
          </w:tcPr>
          <w:p>
            <w:r>
              <w:rPr>
                <w:b/>
                <w:bCs/>
              </w:rPr>
              <w:t xml:space="preserve">Bottleneck node (pricing power)</w:t>
            </w:r>
          </w:p>
        </w:tc>
        <w:tc>
          <w:tcPr>
            <w:tcW w:type="dxa" w:w="5800"/>
          </w:tcPr>
          <w:p>
            <w:r>
              <w:t xml:space="preserve">supply of off-lease / enterprise used devices + skilled L3 refurb capacity</w:t>
            </w:r>
          </w:p>
        </w:tc>
      </w:tr>
      <w:tr>
        <w:tc>
          <w:tcPr>
            <w:tcW w:type="dxa" w:w="3200"/>
            <w:shd w:fill="F2F2F2" w:val="clear"/>
          </w:tcPr>
          <w:p>
            <w:r>
              <w:rPr>
                <w:b/>
                <w:bCs/>
              </w:rPr>
              <w:t xml:space="preserve">Supply-side status</w:t>
            </w:r>
          </w:p>
        </w:tc>
        <w:tc>
          <w:tcPr>
            <w:tcW w:type="dxa" w:w="5800"/>
          </w:tcPr>
          <w:p>
            <w:r>
              <w:t xml:space="preserve">consolidating</w:t>
            </w:r>
          </w:p>
        </w:tc>
      </w:tr>
      <w:tr>
        <w:tc>
          <w:tcPr>
            <w:tcW w:type="dxa" w:w="3200"/>
            <w:shd w:fill="F2F2F2" w:val="clear"/>
          </w:tcPr>
          <w:p>
            <w:r>
              <w:rPr>
                <w:b/>
                <w:bCs/>
              </w:rPr>
              <w:t xml:space="preserve">Adjacent-node peers</w:t>
            </w:r>
          </w:p>
        </w:tc>
        <w:tc>
          <w:tcPr>
            <w:tcW w:type="dxa" w:w="5800"/>
          </w:tcPr>
          <w:p>
            <w:r>
              <w:t xml:space="preserve">Newjaisa Technologies, Cashify (unlisted), Yaantra (unlisted), Redington / Ingram Micro (distribution)</w:t>
            </w:r>
          </w:p>
        </w:tc>
      </w:tr>
    </w:tbl>
    <w:p>
      <w:pPr>
        <w:spacing w:after="120"/>
      </w:pPr>
      <w:r>
        <w:rPr>
          <w:color w:val="666666"/>
          <w:sz w:val="18"/>
          <w:szCs w:val="18"/>
        </w:rPr>
        <w:t xml:space="preserve">Ishmohit playbook explicitly names 'companies in refurbished laptops' as an optically-higher-growth beneficiary of the memory/component shortage. GNG is consolidating a fragmented, largely unorganised Indian refurb market; the constraint is device sourcing and refurb throughput, not demand.</w:t>
      </w:r>
    </w:p>
    <w:p>
      <w:pPr>
        <w:spacing w:after="60" w:before="120"/>
      </w:pPr>
      <w:r>
        <w:rPr>
          <w:b/>
          <w:bCs/>
          <w:sz w:val="20"/>
          <w:szCs w:val="20"/>
        </w:rPr>
        <w:t xml:space="preserve">Earnings quality: </w:t>
      </w:r>
      <w:r>
        <w:rPr>
          <w:sz w:val="20"/>
          <w:szCs w:val="20"/>
        </w:rPr>
        <w:t xml:space="preserve">margin driver mixed</w:t>
      </w:r>
      <w:r>
        <w:rPr>
          <w:b/>
          <w:bCs/>
          <w:color w:val="A32020"/>
          <w:sz w:val="20"/>
          <w:szCs w:val="20"/>
        </w:rPr>
        <w:t xml:space="preserve"/>
      </w:r>
    </w:p>
    <w:p>
      <w:pPr>
        <w:spacing w:after="120"/>
      </w:pPr>
      <w:r>
        <w:rPr>
          <w:color w:val="666666"/>
          <w:sz w:val="18"/>
          <w:szCs w:val="18"/>
        </w:rPr>
        <w:t xml:space="preserve">Drivers: scale/sourcing efficiency (structural); elevated new-device prices from the memory shortage boosting refurb economics (cyclical).</w:t>
      </w:r>
    </w:p>
    <w:p>
      <w:pPr>
        <w:spacing w:after="120"/>
      </w:pPr>
      <w:r>
        <w:rPr>
          <w:color w:val="666666"/>
          <w:sz w:val="18"/>
          <w:szCs w:val="18"/>
        </w:rPr>
        <w:t xml:space="preserve">Current ~12-13% EBITDA margin is a genuine step-up from ~10-11% a year ago but is not obviously above a defensible through-cycle level yet; the cyclical component-price assist means some of the gain could unwind if pricing normalises, but management frames the tailwind as holding through end-2027.</w:t>
      </w:r>
    </w:p>
    <w:p>
      <w:pPr>
        <w:spacing w:after="60" w:before="120"/>
      </w:pPr>
      <w:r>
        <w:rPr>
          <w:b/>
          <w:bCs/>
          <w:sz w:val="20"/>
          <w:szCs w:val="20"/>
        </w:rPr>
        <w:t xml:space="preserve">Growth trajectory: </w:t>
      </w:r>
      <w:r>
        <w:rPr>
          <w:b w:val="false"/>
          <w:bCs w:val="false"/>
          <w:sz w:val="20"/>
          <w:szCs w:val="20"/>
        </w:rPr>
        <w:t xml:space="preserve">YoY growth rate is steady</w:t>
      </w:r>
    </w:p>
    <w:p>
      <w:pPr>
        <w:spacing w:after="120"/>
      </w:pPr>
      <w:r>
        <w:rPr>
          <w:color w:val="666666"/>
          <w:sz w:val="18"/>
          <w:szCs w:val="18"/>
        </w:rPr>
        <w:t xml:space="preserve">YoY revenue growth on the quarters available: Q2 FY26 +24.8%, Q1 FY27 +32%; full FY26 +34% -- growth has held in a ~25-34% band without a clean multi-quarter acceleration or deceleration pattern on the limited data reviewed this pass</w:t>
      </w:r>
    </w:p>
    <w:p>
      <w:pPr>
        <w:spacing w:after="120"/>
      </w:pPr>
      <w:r>
        <w:rPr>
          <w:color w:val="666666"/>
          <w:sz w:val="18"/>
          <w:szCs w:val="18"/>
        </w:rPr>
        <w:t xml:space="preserve">Reverse P/E: ~46x trailing (39% premium to peers) needs ~35-45% EPS CAGR FY26-28 at a realistic ~20-22x exit; the ~25-34% observed revenue growth plus margin expansion tracks but does not comfortably clear that bar</w:t>
      </w:r>
    </w:p>
    <w:p>
      <w:pPr>
        <w:spacing w:after="120"/>
      </w:pPr>
      <w:r>
        <w:rPr>
          <w:b/>
          <w:bCs/>
          <w:sz w:val="20"/>
          <w:szCs w:val="20"/>
        </w:rPr>
        <w:t xml:space="preserve">Management quality (TVGP's "P"):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neutral</w:t>
            </w:r>
          </w:p>
        </w:tc>
      </w:tr>
      <w:tr>
        <w:tc>
          <w:tcPr>
            <w:tcW w:type="dxa" w:w="3200"/>
            <w:shd w:fill="F2F2F2" w:val="clear"/>
          </w:tcPr>
          <w:p>
            <w:r>
              <w:rPr>
                <w:b/>
                <w:bCs/>
              </w:rPr>
              <w:t xml:space="preserve">Capital allocation</w:t>
            </w:r>
          </w:p>
        </w:tc>
        <w:tc>
          <w:tcPr>
            <w:tcW w:type="dxa" w:w="5800"/>
          </w:tcPr>
          <w:p>
            <w:r>
              <w:t xml:space="preserve">Cash is being reinvested into working capital to fund organic growth (no capex-heavy expansion, no unrelated diversification); too early (&lt;1yr public) to judge multi-year incremental ROCE on reinvestment</w:t>
            </w:r>
          </w:p>
        </w:tc>
      </w:tr>
      <w:tr>
        <w:tc>
          <w:tcPr>
            <w:tcW w:type="dxa" w:w="3200"/>
            <w:shd w:fill="F2F2F2" w:val="clear"/>
          </w:tcPr>
          <w:p>
            <w:r>
              <w:rPr>
                <w:b/>
                <w:bCs/>
              </w:rPr>
              <w:t xml:space="preserve">Related-party trend</w:t>
            </w:r>
          </w:p>
        </w:tc>
        <w:tc>
          <w:tcPr>
            <w:tcW w:type="dxa" w:w="5800"/>
          </w:tcPr>
          <w:p>
            <w:r>
              <w:t xml:space="preserve">unclear</w:t>
            </w:r>
          </w:p>
        </w:tc>
      </w:tr>
      <w:tr>
        <w:tc>
          <w:tcPr>
            <w:tcW w:type="dxa" w:w="3200"/>
            <w:shd w:fill="F2F2F2" w:val="clear"/>
          </w:tcPr>
          <w:p>
            <w:r>
              <w:rPr>
                <w:b/>
                <w:bCs/>
              </w:rPr>
              <w:t xml:space="preserve">Guidance credibility</w:t>
            </w:r>
          </w:p>
        </w:tc>
        <w:tc>
          <w:tcPr>
            <w:tcW w:type="dxa" w:w="5800"/>
          </w:tcPr>
          <w:p>
            <w:r>
              <w:t xml:space="preserve">no-track-record</w:t>
            </w:r>
          </w:p>
        </w:tc>
      </w:tr>
      <w:tr>
        <w:tc>
          <w:tcPr>
            <w:tcW w:type="dxa" w:w="3200"/>
            <w:shd w:fill="F2F2F2" w:val="clear"/>
          </w:tcPr>
          <w:p>
            <w:r>
              <w:rPr>
                <w:b/>
                <w:bCs/>
              </w:rPr>
              <w:t xml:space="preserve">Shareholder returns</w:t>
            </w:r>
          </w:p>
        </w:tc>
        <w:tc>
          <w:tcPr>
            <w:tcW w:type="dxa" w:w="5800"/>
          </w:tcPr>
          <w:p>
            <w:r>
              <w:t xml:space="preserve">—</w:t>
            </w:r>
          </w:p>
        </w:tc>
      </w:tr>
      <w:tr>
        <w:tc>
          <w:tcPr>
            <w:tcW w:type="dxa" w:w="3200"/>
            <w:shd w:fill="F2F2F2" w:val="clear"/>
          </w:tcPr>
          <w:p>
            <w:r>
              <w:rPr>
                <w:b/>
                <w:bCs/>
              </w:rPr>
              <w:t xml:space="preserve">Capability ladder / VAP</w:t>
            </w:r>
          </w:p>
        </w:tc>
        <w:tc>
          <w:tcPr>
            <w:tcW w:type="dxa" w:w="5800"/>
          </w:tcPr>
          <w:p>
            <w:r>
              <w:t xml:space="preserve">—</w:t>
            </w:r>
          </w:p>
        </w:tc>
      </w:tr>
    </w:tbl>
    <w:p>
      <w:pPr>
        <w:spacing w:after="120"/>
      </w:pPr>
      <w:r>
        <w:rPr>
          <w:b/>
          <w:bCs/>
          <w:sz w:val="20"/>
          <w:szCs w:val="20"/>
        </w:rPr>
        <w:t xml:space="preserve">Quality metrics (ROCE · debt · FCF · margin · capex):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concern</w:t>
            </w:r>
          </w:p>
        </w:tc>
      </w:tr>
      <w:tr>
        <w:tc>
          <w:tcPr>
            <w:tcW w:type="dxa" w:w="3200"/>
            <w:shd w:fill="F2F2F2" w:val="clear"/>
          </w:tcPr>
          <w:p>
            <w:r>
              <w:rPr>
                <w:b/>
                <w:bCs/>
              </w:rPr>
              <w:t xml:space="preserve">ROCE</w:t>
            </w:r>
          </w:p>
        </w:tc>
        <w:tc>
          <w:tcPr>
            <w:tcW w:type="dxa" w:w="5800"/>
          </w:tcPr>
          <w:p>
            <w:r>
              <w:t xml:space="preserve">20% (stable)</w:t>
            </w:r>
          </w:p>
        </w:tc>
      </w:tr>
      <w:tr>
        <w:tc>
          <w:tcPr>
            <w:tcW w:type="dxa" w:w="3200"/>
            <w:shd w:fill="F2F2F2" w:val="clear"/>
          </w:tcPr>
          <w:p>
            <w:r>
              <w:rPr>
                <w:b/>
                <w:bCs/>
              </w:rPr>
              <w:t xml:space="preserve">Leverage</w:t>
            </w:r>
          </w:p>
        </w:tc>
        <w:tc>
          <w:tcPr>
            <w:tcW w:type="dxa" w:w="5800"/>
          </w:tcPr>
          <w:p>
            <w:r>
              <w:t xml:space="preserve">Net debt/EBITDA 2.1x</w:t>
            </w:r>
          </w:p>
        </w:tc>
      </w:tr>
      <w:tr>
        <w:tc>
          <w:tcPr>
            <w:tcW w:type="dxa" w:w="3200"/>
            <w:shd w:fill="F2F2F2" w:val="clear"/>
          </w:tcPr>
          <w:p>
            <w:r>
              <w:rPr>
                <w:b/>
                <w:bCs/>
              </w:rPr>
              <w:t xml:space="preserve">FCF conversion</w:t>
            </w:r>
          </w:p>
        </w:tc>
        <w:tc>
          <w:tcPr>
            <w:tcW w:type="dxa" w:w="5800"/>
          </w:tcPr>
          <w:p>
            <w:r>
              <w:t xml:space="preserve">-29%</w:t>
            </w:r>
          </w:p>
        </w:tc>
      </w:tr>
      <w:tr>
        <w:tc>
          <w:tcPr>
            <w:tcW w:type="dxa" w:w="3200"/>
            <w:shd w:fill="F2F2F2" w:val="clear"/>
          </w:tcPr>
          <w:p>
            <w:r>
              <w:rPr>
                <w:b/>
                <w:bCs/>
              </w:rPr>
              <w:t xml:space="preserve">Margin trend</w:t>
            </w:r>
          </w:p>
        </w:tc>
        <w:tc>
          <w:tcPr>
            <w:tcW w:type="dxa" w:w="5800"/>
          </w:tcPr>
          <w:p>
            <w:r>
              <w:t xml:space="preserve">expanding</w:t>
            </w:r>
          </w:p>
        </w:tc>
      </w:tr>
      <w:tr>
        <w:tc>
          <w:tcPr>
            <w:tcW w:type="dxa" w:w="3200"/>
            <w:shd w:fill="F2F2F2" w:val="clear"/>
          </w:tcPr>
          <w:p>
            <w:r>
              <w:rPr>
                <w:b/>
                <w:bCs/>
              </w:rPr>
              <w:t xml:space="preserve">Capex efficiency</w:t>
            </w:r>
          </w:p>
        </w:tc>
        <w:tc>
          <w:tcPr>
            <w:tcW w:type="dxa" w:w="5800"/>
          </w:tcPr>
          <w:p>
            <w:r>
              <w:t xml:space="preserve">neutral</w:t>
            </w:r>
          </w:p>
        </w:tc>
      </w:tr>
    </w:tbl>
    <w:p>
      <w:pPr>
        <w:spacing w:after="60" w:before="120"/>
      </w:pPr>
      <w:r>
        <w:rPr>
          <w:b/>
          <w:bCs/>
          <w:sz w:val="20"/>
          <w:szCs w:val="20"/>
        </w:rPr>
        <w:t xml:space="preserve">Track record (Coffee Can persistence check): </w:t>
      </w:r>
      <w:r>
        <w:rPr>
          <w:sz w:val="20"/>
          <w:szCs w:val="20"/>
        </w:rPr>
        <w:t xml:space="preserve">cleared revenue growth ≥10% AND ROCE ≥15% in 6 of the last 6 years (consistency_score 100)</w:t>
      </w:r>
    </w:p>
    <w:p>
      <w:pPr>
        <w:spacing w:after="120"/>
      </w:pPr>
      <w:r>
        <w:rPr>
          <w:color w:val="666666"/>
          <w:sz w:val="18"/>
          <w:szCs w:val="18"/>
        </w:rPr>
        <w:t xml:space="preserve">FY21-FY26 (screener consolidated, EBGNG): ROCE 20-22% every year FY21-FY25 (FY26 not separately shown; FY26 ROE ~27% and OPM up to 10% so ROCE almost certainly held &gt;=15%). Revenue grew 24-72% every year (5yr CAGR 41%). Both metrics cleared 6 of 6 -- but this is a working-capital-heavy refurb/trading model (borrowings Rs 82cr -&gt; Rs 433cr, FY26 CFO -Rs 215cr on the inventory build).</w:t>
      </w:r>
    </w:p>
    <w:p>
      <w:pPr>
        <w:pStyle w:val="Heading1"/>
        <w:spacing w:after="120" w:before="280"/>
      </w:pPr>
      <w:r>
        <w:t xml:space="preserve">Technical Read (Weekly / Monthly MACD + Bollinger Bands, or RSI/CCI/Williams %R proxy)</w:t>
      </w:r>
    </w:p>
    <w:p>
      <w:pPr>
        <w:spacing w:after="120"/>
      </w:pPr>
      <w:r>
        <w:t xml:space="preserve">Not pulled. Stock up ~90% in the year since listing; trades near the upper end of its range.</w:t>
      </w:r>
    </w:p>
    <w:p>
      <w:pPr>
        <w:pStyle w:val="Heading1"/>
        <w:spacing w:after="120" w:before="280"/>
      </w:pPr>
      <w:r>
        <w:t xml:space="preserve">ValuePickr Community Signal</w:t>
      </w:r>
    </w:p>
    <w:p>
      <w:pPr>
        <w:spacing w:after="120"/>
      </w:pPr>
      <w:r>
        <w:t xml:space="preserve">Thread is young (8 posts) but substantive. richbandit (trusted, elevated; 14 love) posted the founding write-up: company beat its own FY26 guidance, the EU 'right to repair' / circular-economy regulation is a live optionality, and the semiconductor/memory shortage is pushing new-device prices up — structurally favourable for refurbished demand. Chandragupta (trusted, elevated) holds a tracking position and, after examining the corporate structure, concluded there is 'no major governance issue if what management is saying is factually true', but wants the overlapping Kay Kay entity names cleaned up; his stated primary concern is inventories and cash flows, not the structure. MarketLover flagged that Kay Kay Overseas Corporation (the 33.7% promoter holdco) is not a subsidiary, so brand equity may accrue to the promoter rather than GNG; Chandragupta clarified that the US subsidiary 'Kay Kay Overseas Corporation USA' is a distinct, 100%-owned GNG entity.</w:t>
      </w:r>
    </w:p>
    <w:p>
      <w:pPr>
        <w:spacing w:after="120"/>
      </w:pPr>
      <w:r>
        <w:rPr>
          <w:b/>
          <w:bCs/>
          <w:sz w:val="20"/>
          <w:szCs w:val="20"/>
        </w:rPr>
        <w:t xml:space="preserve">High-conviction call from a top contributor: </w:t>
      </w:r>
      <w:r>
        <w:rPr>
          <w:sz w:val="20"/>
          <w:szCs w:val="20"/>
        </w:rPr>
        <w:t xml:space="preserve">Two elevated-tier users engaged constructively — richbandit bullish on the thesis, Chandragupta holding a tracking position with governance-optics and working-capital caveats. Net mildly positive trusted signal; no one has posted a sell or a reversal.</w:t>
      </w:r>
    </w:p>
    <w:p>
      <w:pPr>
        <w:pStyle w:val="Heading1"/>
        <w:spacing w:after="120" w:before="280"/>
      </w:pPr>
      <w:r>
        <w:t xml:space="preserve">Trusted-User Signals (Ongoing)</w:t>
      </w:r>
    </w:p>
    <w:p>
      <w:pPr>
        <w:spacing w:after="120"/>
      </w:pPr>
      <w:r>
        <w:rPr>
          <w:i/>
          <w:iCs/>
          <w:color w:val="666666"/>
          <w:sz w:val="18"/>
          <w:szCs w:val="18"/>
        </w:rPr>
        <w:t xml:space="preserve">Every time a trusted user expresses clear conviction on this stock, most recent first — this section accumulates over time, it isn't a one-time snapshot.</w:t>
      </w:r>
    </w:p>
    <w:p>
      <w:pPr>
        <w:spacing w:after="100"/>
      </w:pPr>
      <w:r>
        <w:rPr>
          <w:b/>
          <w:bCs/>
          <w:sz w:val="20"/>
          <w:szCs w:val="20"/>
        </w:rPr>
        <w:t xml:space="preserve">2026-05-15 — Chandragupta</w:t>
      </w:r>
      <w:r>
        <w:rPr>
          <w:i/>
          <w:iCs/>
          <w:color w:val="666666"/>
          <w:sz w:val="18"/>
          <w:szCs w:val="18"/>
        </w:rPr>
        <w:t xml:space="preserve"> (GNG Electronics Ltd - The Largest Laptop Refurbisher in India)</w:t>
      </w:r>
      <w:r>
        <w:rPr>
          <w:sz w:val="20"/>
          <w:szCs w:val="20"/>
        </w:rPr>
        <w:br/>
        <w:t xml:space="preserve">: TRACKING POSITION -- sees no major governance issue in the overlapping Kay Kay entity names if management's account is factually true, but wants the overlap removed; primary concern is inventories and cash flows</w:t>
      </w:r>
    </w:p>
    <w:p>
      <w:pPr>
        <w:spacing w:after="100"/>
      </w:pPr>
      <w:r>
        <w:rPr>
          <w:b/>
          <w:bCs/>
          <w:sz w:val="20"/>
          <w:szCs w:val="20"/>
        </w:rPr>
        <w:t xml:space="preserve">2026-05-14 — richbandit</w:t>
      </w:r>
      <w:r>
        <w:rPr>
          <w:i/>
          <w:iCs/>
          <w:color w:val="666666"/>
          <w:sz w:val="18"/>
          <w:szCs w:val="18"/>
        </w:rPr>
        <w:t xml:space="preserve"> (GNG Electronics Ltd - The Largest Laptop Refurbisher in India)</w:t>
      </w:r>
      <w:r>
        <w:rPr>
          <w:sz w:val="20"/>
          <w:szCs w:val="20"/>
        </w:rPr>
        <w:br/>
        <w:t xml:space="preserve">: POSITIVE -- founding write-up: beat FY26 guidance; EU right-to-repair regulation an optionality; memory/semiconductor shortage lifting new-device prices is structurally good for refurb demand</w:t>
      </w:r>
    </w:p>
    <w:p>
      <w:pPr>
        <w:pStyle w:val="Heading1"/>
        <w:spacing w:after="120" w:before="280"/>
      </w:pPr>
      <w:r>
        <w:t xml:space="preserve">BSE Corporate Actions / Other Red Flags</w:t>
      </w:r>
    </w:p>
    <w:p>
      <w:pPr>
        <w:spacing w:after="120"/>
      </w:pPr>
      <w:r>
        <w:t xml:space="preserve">No corporate-action red flags. Governance watch-items: overlapping promoter/subsidiary entity names ('Kay Kay Overseas Corporation' holdco vs 'Kay Kay Overseas Corporation USA' subsidiary), and brand ownership sitting partly at the promoter holdco level. Newly listed (July 2025), so disclosure practices are still maturing.</w:t>
      </w:r>
    </w:p>
    <w:p>
      <w:pPr>
        <w:pStyle w:val="Heading1"/>
        <w:spacing w:after="120" w:before="280"/>
      </w:pPr>
      <w:r>
        <w:t xml:space="preserve">Bull Case</w:t>
      </w:r>
    </w:p>
    <w:p>
      <w:pPr>
        <w:pStyle w:val="ListParagraph"/>
        <w:numPr>
          <w:ilvl w:val="0"/>
          <w:numId w:val="1"/>
        </w:numPr>
        <w:spacing w:after="60"/>
      </w:pPr>
      <w:r>
        <w:t xml:space="preserve">Priority-1 structural tailwind: new-device prices rising on the memory/component shortage (tight through end-2027), a widening affordability gap, enterprise refresh cycles, and EU circular-economy regulation — all feed refurbished-ICT demand</w:t>
      </w:r>
    </w:p>
    <w:p>
      <w:pPr>
        <w:pStyle w:val="ListParagraph"/>
        <w:numPr>
          <w:ilvl w:val="0"/>
          <w:numId w:val="1"/>
        </w:numPr>
        <w:spacing w:after="60"/>
      </w:pPr>
      <w:r>
        <w:t xml:space="preserve">India's largest refurbisher with the full value chain (sourcing -&gt; L3 refurb -&gt; sales -&gt; warranty) and Microsoft Authorised Refurbisher status; multi-geography footprint (India, USA, Europe, Africa, UAE)</w:t>
      </w:r>
    </w:p>
    <w:p>
      <w:pPr>
        <w:pStyle w:val="ListParagraph"/>
        <w:numPr>
          <w:ilvl w:val="0"/>
          <w:numId w:val="1"/>
        </w:numPr>
        <w:spacing w:after="60"/>
      </w:pPr>
      <w:r>
        <w:t xml:space="preserve">Fast, profitable growth: +34% rev / +91% PAT FY26; +32% / +56% Q1 FY27; ROE ~27%; FY27 guidance raised to 30%</w:t>
      </w:r>
    </w:p>
    <w:p>
      <w:pPr>
        <w:pStyle w:val="ListParagraph"/>
        <w:numPr>
          <w:ilvl w:val="0"/>
          <w:numId w:val="1"/>
        </w:numPr>
        <w:spacing w:after="60"/>
      </w:pPr>
      <w:r>
        <w:t xml:space="preserve">New nationwide distribution via Redington, Ingram Micro and Supertron widens reach; ex-Dell APJ head Amit Midha on the board</w:t>
      </w:r>
    </w:p>
    <w:p>
      <w:pPr>
        <w:pStyle w:val="Heading1"/>
        <w:spacing w:after="120" w:before="280"/>
      </w:pPr>
      <w:r>
        <w:t xml:space="preserve">Bear Case / Key Risks</w:t>
      </w:r>
    </w:p>
    <w:p>
      <w:pPr>
        <w:pStyle w:val="ListParagraph"/>
        <w:numPr>
          <w:ilvl w:val="0"/>
          <w:numId w:val="1"/>
        </w:numPr>
        <w:spacing w:after="60"/>
      </w:pPr>
      <w:r>
        <w:t xml:space="preserve">Working-capital-intensive trading/refurb model: Rs 700 Cr inventory, Rs 406 Cr net debt, rising finance costs as the book scales; inventory turnover has actually deteriorated (2.9x FY25 vs 4.9x FY23) — cash conversion is the key risk, not just a static WC number</w:t>
      </w:r>
    </w:p>
    <w:p>
      <w:pPr>
        <w:pStyle w:val="ListParagraph"/>
        <w:numPr>
          <w:ilvl w:val="0"/>
          <w:numId w:val="1"/>
        </w:numPr>
        <w:spacing w:after="60"/>
      </w:pPr>
      <w:r>
        <w:t xml:space="preserve">~45-46x trailing earnings (39% premium to peer median ~33x) already prices in sustained 30%+ compounding; any growth or margin wobble de-rates hard</w:t>
      </w:r>
    </w:p>
    <w:p>
      <w:pPr>
        <w:pStyle w:val="ListParagraph"/>
        <w:numPr>
          <w:ilvl w:val="0"/>
          <w:numId w:val="1"/>
        </w:numPr>
        <w:spacing w:after="60"/>
      </w:pPr>
      <w:r>
        <w:t xml:space="preserve">Thin ~12% EBITDA margins; refurb sourcing economics and OEM/Microsoft authorisations are ultimately replicable</w:t>
      </w:r>
    </w:p>
    <w:p>
      <w:pPr>
        <w:pStyle w:val="ListParagraph"/>
        <w:numPr>
          <w:ilvl w:val="0"/>
          <w:numId w:val="1"/>
        </w:numPr>
        <w:spacing w:after="60"/>
      </w:pPr>
      <w:r>
        <w:t xml:space="preserve">Governance optics went public in Apr-2026 — social-media allegations on the overlapping Kay Kay entity names forced a formal company rebuttal and a promoter TV interview defending the structure; company denies wrongdoing but the scrutiny itself is a live overhang, not fully resolved by one press release</w:t>
      </w:r>
    </w:p>
    <w:p>
      <w:pPr>
        <w:pStyle w:val="ListParagraph"/>
        <w:numPr>
          <w:ilvl w:val="0"/>
          <w:numId w:val="1"/>
        </w:numPr>
        <w:spacing w:after="60"/>
      </w:pPr>
      <w:r>
        <w:t xml:space="preserve">Only ~1 year as a public company — no 3-year track record to judge guidance credibility; thesis leans on a component-price cycle that could reverse</w:t>
      </w:r>
    </w:p>
    <w:p>
      <w:pPr>
        <w:pStyle w:val="Heading1"/>
        <w:spacing w:after="120" w:before="280"/>
      </w:pPr>
      <w:r>
        <w:t xml:space="preserve">Market-Cap Tier (informational — not a gate in this project)</w:t>
      </w:r>
    </w:p>
    <w:p>
      <w:pPr>
        <w:spacing w:after="120"/>
      </w:pPr>
      <w:r>
        <w:rPr>
          <w:b/>
          <w:bCs/>
        </w:rPr>
        <w:t xml:space="preserve">Mid-cap (~Rs 7,400 Cr)</w:t>
      </w:r>
    </w:p>
    <w:p>
      <w:pPr>
        <w:pStyle w:val="Heading1"/>
        <w:spacing w:after="120" w:before="280"/>
      </w:pPr>
      <w:r>
        <w:t xml:space="preserve">Thesis Fit</w:t>
      </w:r>
    </w:p>
    <w:p>
      <w:pPr>
        <w:spacing w:after="120"/>
      </w:pPr>
      <w:r>
        <w:rPr>
          <w:b/>
          <w:bCs/>
          <w:sz w:val="24"/>
          <w:szCs w:val="24"/>
        </w:rPr>
        <w:t xml:space="preserve">10x-in-2-3-years</w:t>
      </w:r>
    </w:p>
    <w:p>
      <w:pPr>
        <w:spacing w:after="120"/>
      </w:pPr>
      <w:r>
        <w:rPr>
          <w:color w:val="666666"/>
          <w:sz w:val="20"/>
          <w:szCs w:val="20"/>
        </w:rPr>
        <w:t xml:space="preserve">4-box gate — tailwind: yes · TAM: weak · moat: weak · valuation: weak  (score 2.5 / 4)</w:t>
      </w:r>
    </w:p>
    <w:p>
      <w:pPr>
        <w:spacing w:after="120"/>
      </w:pPr>
      <w:r>
        <w:rPr>
          <w:i/>
          <w:iCs/>
          <w:color w:val="666666"/>
          <w:sz w:val="20"/>
          <w:szCs w:val="20"/>
        </w:rPr>
        <w:t xml:space="preserve">tailwind yes (priority-1 memory-shortage/circular-economy theme, named in the Ishmohit playbook). tam weak (already Rs 7,400 Cr mcap on an ~12%-EBITDA working-capital-heavy model). moat weak (scale + Microsoft authorisation help, but replicable). valuation weak (~45-46x trailing, still a premium to peers, prices in 30%+ compounding). Score unchanged at 2.5 -&gt; return-magnitude label only via the un-ignorable-growth exception.</w:t>
      </w:r>
    </w:p>
    <w:p>
      <w:pPr>
        <w:pStyle w:val="Heading1"/>
        <w:spacing w:after="120" w:before="280"/>
      </w:pPr>
      <w:r>
        <w:t xml:space="preserve">Verdict</w:t>
      </w:r>
    </w:p>
    <w:p>
      <w:pPr>
        <w:spacing w:after="120"/>
      </w:pPr>
      <w:r>
        <w:rPr>
          <w:b/>
          <w:bCs/>
          <w:sz w:val="24"/>
          <w:szCs w:val="24"/>
        </w:rPr>
        <w:t xml:space="preserve">The best of this batch: a priority-1-theme refurbisher growing 30%+ with a raised guide, a CARE rating upgrade and a public governance rebuttal — but working-capital deterioration and a &lt;1yr public track record keep the 10x label 'unconfirmed' and conviction capped at Medium</w:t>
      </w:r>
    </w:p>
    <w:p>
      <w:pPr>
        <w:pStyle w:val="ListParagraph"/>
        <w:numPr>
          <w:ilvl w:val="0"/>
          <w:numId w:val="1"/>
        </w:numPr>
        <w:spacing w:after="60"/>
      </w:pPr>
      <w:r>
        <w:t xml:space="preserve">External-lead (tier 4.5) from an untrusted X handle. four_box score 2.5 (unchanged); the phreak un-ignorable-growth exception is invoked in writing — +34% rev / +91% PAT FY26, +32% / +56% Q1 FY27, guidance raised, a priority-1 global tailwind ('Memory shortage -- distributors &amp; refurb', named in the Ishmohit playbook), and two elevated-tier users (richbandit bullish, Chandragupta tracking) — so 'thesis_fit: 10x-in-2-3-years' is permitted but flagged UNCONFIRMED and conviction is capped at Medium.</w:t>
      </w:r>
    </w:p>
    <w:p>
      <w:pPr>
        <w:pStyle w:val="ListParagraph"/>
        <w:numPr>
          <w:ilvl w:val="0"/>
          <w:numId w:val="1"/>
        </w:numPr>
        <w:spacing w:after="60"/>
      </w:pPr>
      <w:r>
        <w:t xml:space="preserve">The caveats that keep it at Medium rather than higher: valuation ~45-46x trailing (39% premium to peer median) already discounts sustained 30%+ growth; the model is working-capital intensive and inventory turnover is deteriorating, not stabilising (2.9x FY25 vs 4.9x FY23); ~12% EBITDA margins are thin; the Kay Kay governance optics went fully public in Apr-2026 (forced company rebuttal + promoter TV interview) and remain a live overhang even after CARE's BBB upgrade; and management has under a year as a public company, so guidance credibility has no track record yet.</w:t>
      </w:r>
    </w:p>
    <w:p>
      <w:pPr>
        <w:pStyle w:val="ListParagraph"/>
        <w:numPr>
          <w:ilvl w:val="0"/>
          <w:numId w:val="1"/>
        </w:numPr>
        <w:spacing w:after="60"/>
      </w:pPr>
      <w:r>
        <w:t xml:space="preserve">Theme match: priority-1 'Memory shortage -- distributors &amp; refurb' (keyword 'refurbished laptop' / 'refurb'), direct. value_chain seeded (supply-side consolidating). No red flag. revisit_after_30d is false by the rule (conviction Medium, not Medium-High), but this name should be re-checked after the Q2 FY27 cash-flow / inventory print.</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2026-09-09T18:17:04.072Z</dcterms:created>
  <dcterms:modified xsi:type="dcterms:W3CDTF">2026-09-09T18:17:04.076Z</dcterms:modified>
</cp:coreProperties>
</file>

<file path=docProps/custom.xml><?xml version="1.0" encoding="utf-8"?>
<Properties xmlns="http://schemas.openxmlformats.org/officeDocument/2006/custom-properties" xmlns:vt="http://schemas.openxmlformats.org/officeDocument/2006/docPropsVTypes"/>
</file>