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GV Electricals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Rs ~155 Cr just-IPO'd electrical-infrastructure O&amp;M and metering services provider to DISCOMs with ~40 years of execution history, ~77% recurring revenue, a 3.5x order-book cover and FY26 PAT that more than doubled -- but it is a competitive-bid contracting business at the least-differentiated end of the grid chain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GV Electricals provides operation &amp; maintenance (O&amp;M), electrical-infrastructure development and metering services to electricity distribution utilities across India, with ~40 years of execution history and some international work. Contracts are long-term maintenance / AMC / rate contracts and project work orders won mainly through competitive bidding. Client base also spans industrial plants, government departments, commercial buildings and data centres.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156 Cr (micro-cap; recent SME-scale IPO)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(FY26)</w:t>
            </w:r>
          </w:p>
        </w:tc>
        <w:tc>
          <w:tcPr>
            <w:tcW w:type="dxa" w:w="5800"/>
          </w:tcPr>
          <w:p>
            <w:r>
              <w:t xml:space="preserve">~Rs 156 Cr revenue / ~Rs 10.5 Cr PAT; PAT more than doubled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553 Cr (~3.5x FY26 revenue)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Recurring revenue</w:t>
            </w:r>
          </w:p>
        </w:tc>
        <w:tc>
          <w:tcPr>
            <w:tcW w:type="dxa" w:w="5800"/>
          </w:tcPr>
          <w:p>
            <w:r>
              <w:t xml:space="preserve">~77% (O&amp;M / AMC / rate contracts)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~0.49 (modest for an EPC/contracting model)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Returns</w:t>
            </w:r>
          </w:p>
        </w:tc>
        <w:tc>
          <w:tcPr>
            <w:tcW w:type="dxa" w:w="5800"/>
          </w:tcPr>
          <w:p>
            <w:r>
              <w:t xml:space="preserve">ROE / ROCE described as strong; exact figures not disclosed in the sources reviewed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~15x on FY26 PAT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attractive features are the ~77% recurring-revenue mix (better than a pure EPC contractor), the 3.5x order-book cover, modest leverage and a doubling of FY26 PAT indicating operating leverage. The limiting features are structural: revenue comes from competitive-bid utility contracts with no pricing power, working capital and DISCOM payment cycles are a permanent drag, and ~40 years of history has produced only a ~Rs 156 Cr revenue base -- growth has not compounded. It is a freshly listed micro-cap with no public track record and a low-quality (untrusted X) origination.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15x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~15x on FY26 PAT for a competitive-bid DISCOM O&amp;M / metering contractor prices in mid-teens earnings growth; sustaining it needs the ~Rs 553 Cr order book (~3.5x revenue) to convert without a receivable blow-out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190-210 Cr (+20-30% on the order book), PAT ~Rs 13-16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240-270 Cr, PAT ~Rs 17-21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freshly listed BSE-SME micro-cap at ~15x FY26 PAT that more than doubled; 3.5x order-book cover and ~77% recurring revenue support continued growth, but competitive-bid contracting and DISCOM receivables cap the durable rate and there is no public track record.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Grid / transmission equipment (transformers, HV switchgear, HVDC, CRGO, insulators)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Services layer -- O&amp;M, metering and electrical-infrastructure execution for DISCOM distribution networks (and some data-centre electrical O&amp;M), downstream of equipment makers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Recurring-heavy mix is a mild quality positive versus pure EPC, but this is still the commoditised services end of the grid value chain.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31.1%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-- newly listed, minimal history.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 (categories 11/14/17 search returned only unrelated electrical companies) -- topic_slug null; research is web/filings-based.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coverage. Untrusted X-triage lead (@BeatTheStreet10).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Newly listed; no corporate-action history to assess. Standard micro-cap / SME governance and liquidity caveats apply.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Priority-1 theme exposure -- power distribution / grid modernisation, plus a stated data-centre O&amp;M angle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~77% recurring revenue and a ~3.5x order-book cover give near-term visibility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more than doubled -- operating leverage showing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Modest leverage (D/E ~0.49) and a ~15x multiple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Competitive-bid utility contracting -- no pricing power, thin structural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DISCOM customer base = chronic receivables / payment-cycle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~40-year history has produced only a ~Rs 156 Cr revenue base; no evidence of durable compounding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Freshly listed micro-cap, no public track record, thin float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Untrusted lead, no independent community validation; ROE/ROCE not verifiable from available disclosure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156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no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tailwind=yes (priority-1 grid modernisation + data-centre power O&amp;M). tam=weak (utility O&amp;M/metering is a competitive, thin-margin niche). moat=no (competitive bidding, no pricing power). valuation=weak (~15x on FY26 PAT, but micro-cap SME re-rating/de-rating risk and unverifiable returns ratios). Score 2.0 with a written un-ignorable-evidence exception -&gt; return-magnitude label permitted, conviction capped at Medium.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An order-book-backed grid-O&amp;M inflection at an early, high-risk stage -- return-magnitude label allowed only on the small-cap live-inflection carve-out; conviction Low-Medium,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match: priority-1 'Grid / transmission equipment' and 'Data-centre power &amp; cooling' (power distribution, substation, O&amp;M for data centres) -- an accelerating tailwind, which is why an early-stage contractor still earns the label.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Written exception (four_box score 2.0): un-ignorable recent evidence -- FY26 PAT more than doubled, a ~3.5x order-book cover, ~77% recurring revenue -- into a live grid-capex cycle justifies '10x-in-2-3-years' despite tam=weak and moat=no; conviction is capped at Medium and set Low-Medium 'unconfirmed' because it is competitive-bid contracting with DISCOM working-capital risk and no listed track record.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 marked revisit_after_30d (conviction below Medium-High). Re-check after two quarters: order-book conversion, receivable days, and whether the data-centre O&amp;M revenue is material or just marketing.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2026-09-09T18:39:10.218Z</dcterms:created>
  <dcterms:modified xsi:type="dcterms:W3CDTF">2026-09-09T18:39:10.218Z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