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Gravita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Established lead/aluminium/plastic recycling compounder, high quality but no sharp near-term catalyst at its current size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Gravita India is one of India's largest lead recyclers, organised across four verticals: lead recycling (flagship), aluminium recycling, plastic recycling, and turnkey projects, with a growing international manufacturing footprint.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13,446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22.56%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ROIC</w:t>
            </w:r>
          </w:p>
        </w:tc>
        <w:tc>
          <w:tcPr>
            <w:tcW w:type="dxa" w:w="5800"/>
          </w:tcPr>
          <w:p>
            <w:r>
              <w:t xml:space="preserve">12.74%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3-year sales growth 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Jul 2026 community read: margin compression in plastic segment (EBITDA margin 19.97%-&gt;14.17% QoQ) and copper segment; capacity utilization flat ~65-75% for 3 quarters running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1,266.90 - 2,170.00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0.20, net cash position (~Rs 414 Cr)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quality metrics (high ROE, low debt, real double-digit growth) with a credible secular circular-economy tailwind, but recent quarters show margin pressure in the newer plastic and copper segments and capacity utilization has plateaued, with a pending MCX aluminium-exchange listing as the main near-term catalyst still awaited.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1696 · 31.9x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~32x trailing on a ~15-20% recycling compounder needs ~25% EPS CAGR FY26-28 against a ~18-22x cyclical-industrial exit; capacity utilisation has been flat ~65-75% for three quarters and ROCE has fallen 32%-&gt;17%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5,000-5,400 Cr (+17-25% on new capacity), OPM ~9-10%, PAT ~Rs 500-560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6,000-6,600 Cr if utilisation lifts and the MCX aluminium channel opens, PAT ~Rs 600-680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32x P/E while ROCE fell 32%-&gt;17% (FY23-&gt;FY26), plastic and copper segment margins compressed (Jul-Aug 2026) and utilisation plateaued. Our FY28 PAT is ~20% below the ~25% CAGR the multiple implies; the pending MCX aluminium listing is the main unpriced catalyst.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8 years (consistency_score 63)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FY19-FY26 screener consolidated. Both revenue growth &gt;=10% AND ROCE &gt;=15% in the same FY: FY22 (+57%, ROCE 31%), FY23 (+26%, 32%), FY24 (+13%, 28%), FY25 (+22%, 22%), FY26 (+10%, 17%). FY19-FY21 missed (ROCE 13-21% with sub-10% or single-digit growth in FY20-FY21). ROCE has fallen from a 32% peak (FY23) to 17% (FY26) as newer plastic/copper verticals dilute and utilisation plateaus.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243 available posts (Aug 2025-Aug 2026). Sentiment has been steady and analytical throughout, dominated by detailed concall Q&amp;A on capacity utilization, the pending MCX aluminium listing, and segment-level margin dynamics - no major bull or bear inflection, just routine ongoing tracking.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VP-trusted-tier user posted in the read window. Non-trusted posters (Krishna_Kumar, A.R_PAWAR, hirakroy123, Rahul_Parmar) tracked routine but real concerns: flat capacity utilization (~65-75%) for three consecutive quarters, a pending MCX aluminium-exchange approval still not finalised as of early 2026, and margin compression in the plastic (Jul 2026) and copper (Aug 2026) segments most recently.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real quality metrics: 22.56% ROE, low debt, net cash position, 20% 3-year sales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Secular circular-economy/recycling tailwind with an established, diversified (lead/aluminium/plastic/copper) international footprint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MCX aluminium-exchange listing could unlock a new domestic volume channel once approved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utilization has been flat (~65-75%) for three consecutive quarters - the company is not yet 'sweating its assets' as one community member put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margin compression in both the plastic segment (Jul 2026) and copper segment (Aug 2026) - two of the newer growth verticals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13,446 Cr market cap with ~20% trailing growth, a 10x-in-2-3-years or 100x-in-10-years outcome would require a much sharper catalyst than currently visible - this looks more like a steady 15-20% compounder than an explosive multibagger from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13,446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Secular circular-economy/recycling tailwind with a diversified international footprint is real and structural; capacity utilization flat ~65-75% for 3 consecutive quarters ('not sweating assets') — tam weak; recent margin compression in newer plastic/copper segments undermines confidence in the diversification moat — weak; no valuation data recorded, pending MCX aluminium-exchange listing is the main awaited catalyst — weak.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recycling compounder, but sized and growing too steadily for this project's aggressive thesis without a sharper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clear the quality gate cleanly (ROE, debt, growth) but the growth rate (~20% CAGR) does not mathematically support a 10x-in-2-3-years or 100x-in-10-years outcome absent a major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margin pressure in newer segments (plastic, copper) and stagnant capacity utilization argue against calling this an inflection point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conviction reflects genuine business quality, but thesis_fit is 'neither' given the mismatch between growth rate and this project's return bar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2026-09-09T18:45:04.360Z</dcterms:created>
  <dcterms:modified xsi:type="dcterms:W3CDTF">2026-09-09T18:45:04.361Z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