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Ideaforge Technology Ltd</w:t>
      </w:r>
    </w:p>
    <w:p>
      <w:pPr>
        <w:pBdr>
          <w:bottom w:val="single" w:color="CCCCCC" w:sz="6" w:space="8"/>
        </w:pBdr>
        <w:spacing w:after="200"/>
      </w:pPr>
      <w:r>
        <w:rPr>
          <w:i/>
          <w:iCs/>
          <w:color w:val="666666"/>
          <w:sz w:val="22"/>
          <w:szCs w:val="22"/>
        </w:rPr>
        <w:t xml:space="preserve">India's leading indigenous UAV OEM with real IP and a defence-drone tailwind, now balance-sheet-repaired by a Rs 500 Cr QIP - but still loss-making, with a stagnant order book and valued (like Zen) on order-book multiples, not earnings</w:t>
      </w:r>
    </w:p>
    <w:p>
      <w:pPr>
        <w:pStyle w:val="Heading1"/>
        <w:spacing w:after="120" w:before="280"/>
      </w:pPr>
      <w:r>
        <w:t xml:space="preserve">Business Overview</w:t>
      </w:r>
    </w:p>
    <w:p>
      <w:pPr>
        <w:spacing w:after="120"/>
      </w:pPr>
      <w:r>
        <w:t xml:space="preserve">ideaForge Technology (founded 2007 out of the IIT-Bombay incubator; listed 2023) is a drone OEM that claims &gt;50% of the Indian market, with in-house design-to-delivery and indigenously developed drones and software (BlueFire suite, autopilot, FLYGHT Cloud). Portfolio: Netra/SWITCH VTOL and fixed-wing ISR platforms, the new ZOLT tactical UAV, and an under-development move into offensive/loitering-munition and kamikaze capability (partnership-led, as it does not plan to hold a weapons/explosives licence) plus a YETI heavy-lift logistics UAV. It is pursuing US market entry via a JV (First Forge) and a Vantage Robotics stake, and a Japan (DMP) AI-drone development pact. Revenue is lumpy and dependent on Indian defence/emergency procurement (~63% of a recent quarter).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4,036 Cr (small/mid-cap; +~75% in 1 year)</w:t>
            </w:r>
          </w:p>
        </w:tc>
      </w:tr>
      <w:tr>
        <w:tc>
          <w:tcPr>
            <w:tcW w:type="dxa" w:w="3200"/>
            <w:shd w:fill="F2F2F2" w:val="clear"/>
          </w:tcPr>
          <w:p>
            <w:r>
              <w:rPr>
                <w:b/>
                <w:bCs/>
              </w:rPr>
              <w:t xml:space="preserve">ROCE / ROE</w:t>
            </w:r>
          </w:p>
        </w:tc>
        <w:tc>
          <w:tcPr>
            <w:tcW w:type="dxa" w:w="5800"/>
          </w:tcPr>
          <w:p>
            <w:r>
              <w:t xml:space="preserve">~ -2.4% / ~ -2.8% (loss-making)</w:t>
            </w:r>
          </w:p>
        </w:tc>
      </w:tr>
      <w:tr>
        <w:tc>
          <w:tcPr>
            <w:tcW w:type="dxa" w:w="3200"/>
            <w:shd w:fill="F2F2F2" w:val="clear"/>
          </w:tcPr>
          <w:p>
            <w:r>
              <w:rPr>
                <w:b/>
                <w:bCs/>
              </w:rPr>
              <w:t xml:space="preserve">Revenue</w:t>
            </w:r>
          </w:p>
        </w:tc>
        <w:tc>
          <w:tcPr>
            <w:tcW w:type="dxa" w:w="5800"/>
          </w:tcPr>
          <w:p>
            <w:r>
              <w:t xml:space="preserve">FY25 ~Rs 282 Cr (-47.7% YoY); Q4 FY26 ~Rs 141 Cr with ~Rs 60 Cr PAT (govt-order driven); Q1 FY27 revenue ~5-6x YoY but still a small loss</w:t>
            </w:r>
          </w:p>
        </w:tc>
      </w:tr>
      <w:tr>
        <w:tc>
          <w:tcPr>
            <w:tcW w:type="dxa" w:w="3200"/>
            <w:shd w:fill="F2F2F2" w:val="clear"/>
          </w:tcPr>
          <w:p>
            <w:r>
              <w:rPr>
                <w:b/>
                <w:bCs/>
              </w:rPr>
              <w:t xml:space="preserve">Order book</w:t>
            </w:r>
          </w:p>
        </w:tc>
        <w:tc>
          <w:tcPr>
            <w:tcW w:type="dxa" w:w="5800"/>
          </w:tcPr>
          <w:p>
            <w:r>
              <w:t xml:space="preserve">Opening FY27 ~Rs 310 Cr; barely moved from Mar 2026 - a key concern; ~Rs 70-75 Cr/quarter is roughly breakeven</w:t>
            </w:r>
          </w:p>
        </w:tc>
      </w:tr>
      <w:tr>
        <w:tc>
          <w:tcPr>
            <w:tcW w:type="dxa" w:w="3200"/>
            <w:shd w:fill="F2F2F2" w:val="clear"/>
          </w:tcPr>
          <w:p>
            <w:r>
              <w:rPr>
                <w:b/>
                <w:bCs/>
              </w:rPr>
              <w:t xml:space="preserve">Capital raise</w:t>
            </w:r>
          </w:p>
        </w:tc>
        <w:tc>
          <w:tcPr>
            <w:tcW w:type="dxa" w:w="5800"/>
          </w:tcPr>
          <w:p>
            <w:r>
              <w:t xml:space="preserve">Rs 500 Cr QIP done at ~Rs 795 (floor Rs 835.86) - ~Rs 120 Cr to repay debt, ~Rs 165 Cr working capital, ~Rs 90 Cr product development</w:t>
            </w:r>
          </w:p>
        </w:tc>
      </w:tr>
      <w:tr>
        <w:tc>
          <w:tcPr>
            <w:tcW w:type="dxa" w:w="3200"/>
            <w:shd w:fill="F2F2F2" w:val="clear"/>
          </w:tcPr>
          <w:p>
            <w:r>
              <w:rPr>
                <w:b/>
                <w:bCs/>
              </w:rPr>
              <w:t xml:space="preserve">Grants/loans</w:t>
            </w:r>
          </w:p>
        </w:tc>
        <w:tc>
          <w:tcPr>
            <w:tcW w:type="dxa" w:w="5800"/>
          </w:tcPr>
          <w:p>
            <w:r>
              <w:t xml:space="preserve">Rs 151 Cr GoI grant + Rs 151 Cr TDB low-interest loan for the YETI platform</w:t>
            </w:r>
          </w:p>
        </w:tc>
      </w:tr>
      <w:tr>
        <w:tc>
          <w:tcPr>
            <w:tcW w:type="dxa" w:w="3200"/>
            <w:shd w:fill="F2F2F2" w:val="clear"/>
          </w:tcPr>
          <w:p>
            <w:r>
              <w:rPr>
                <w:b/>
                <w:bCs/>
              </w:rPr>
              <w:t xml:space="preserve">52-week range</w:t>
            </w:r>
          </w:p>
        </w:tc>
        <w:tc>
          <w:tcPr>
            <w:tcW w:type="dxa" w:w="5800"/>
          </w:tcPr>
          <w:p>
            <w:r>
              <w:t xml:space="preserve">~Rs 356 - 660.5</w:t>
            </w:r>
          </w:p>
        </w:tc>
      </w:tr>
    </w:tbl>
    <w:p>
      <w:pPr>
        <w:spacing w:after="100"/>
      </w:pPr>
    </w:p>
    <w:p>
      <w:pPr>
        <w:spacing w:after="120"/>
      </w:pPr>
      <w:r>
        <w:t xml:space="preserve">Financially this is still a pre-profit story: negative ROCE/ROE, FY25 revenue down ~48%, and quarterly revenue that swings between well above and below the ~Rs 70-75 Cr breakeven depending on defence delivery timing. Q4 FY26 was a strong quarter (govt orders drove ~Rs 141 Cr revenue, ~Rs 60 Cr PAT) and Q1 FY27 revenue was up multiples YoY - but off a tiny base and still loss-making, with gross margins compressing. The Rs 500 Cr QIP has repaired the balance sheet (more than half toward debt repayment and working capital). The single biggest bear data point in the thread: the order book has hardly moved from March 2026 levels.</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2026-09-09</w:t>
            </w:r>
          </w:p>
        </w:tc>
      </w:tr>
      <w:tr>
        <w:tc>
          <w:tcPr>
            <w:tcW w:type="dxa" w:w="3200"/>
            <w:shd w:fill="F2F2F2" w:val="clear"/>
          </w:tcPr>
          <w:p>
            <w:r>
              <w:rPr>
                <w:b/>
                <w:bCs/>
              </w:rPr>
              <w:t xml:space="preserve">Price / multiple</w:t>
            </w:r>
          </w:p>
        </w:tc>
        <w:tc>
          <w:tcPr>
            <w:tcW w:type="dxa" w:w="5800"/>
          </w:tcPr>
          <w:p>
            <w:r>
              <w:t xml:space="preserve">Rs 747</w:t>
            </w:r>
          </w:p>
        </w:tc>
      </w:tr>
      <w:tr>
        <w:tc>
          <w:tcPr>
            <w:tcW w:type="dxa" w:w="3200"/>
            <w:shd w:fill="F2F2F2" w:val="clear"/>
          </w:tcPr>
          <w:p>
            <w:r>
              <w:rPr>
                <w:b/>
                <w:bCs/>
              </w:rPr>
              <w:t xml:space="preserve">Right valuation lens</w:t>
            </w:r>
          </w:p>
        </w:tc>
        <w:tc>
          <w:tcPr>
            <w:tcW w:type="dxa" w:w="5800"/>
          </w:tcPr>
          <w:p>
            <w:r>
              <w:t xml:space="preserve">other</w:t>
            </w:r>
          </w:p>
        </w:tc>
      </w:tr>
      <w:tr>
        <w:tc>
          <w:tcPr>
            <w:tcW w:type="dxa" w:w="3200"/>
            <w:shd w:fill="F2F2F2" w:val="clear"/>
          </w:tcPr>
          <w:p>
            <w:r>
              <w:rPr>
                <w:b/>
                <w:bCs/>
              </w:rPr>
              <w:t xml:space="preserve">Price implies</w:t>
            </w:r>
          </w:p>
        </w:tc>
        <w:tc>
          <w:tcPr>
            <w:tcW w:type="dxa" w:w="5800"/>
          </w:tcPr>
          <w:p>
            <w:r>
              <w:t xml:space="preserve">loss-making FY26; ~Rs3,700cr mcap on Rs226cr revenue (~16x sales) prices a large defence-drone order ramp and margin normalisation to mid-teens</w:t>
            </w:r>
          </w:p>
        </w:tc>
      </w:tr>
      <w:tr>
        <w:tc>
          <w:tcPr>
            <w:tcW w:type="dxa" w:w="3200"/>
            <w:shd w:fill="F2F2F2" w:val="clear"/>
          </w:tcPr>
          <w:p>
            <w:r>
              <w:rPr>
                <w:b/>
                <w:bCs/>
              </w:rPr>
              <w:t xml:space="preserve">Our FY27</w:t>
            </w:r>
          </w:p>
        </w:tc>
        <w:tc>
          <w:tcPr>
            <w:tcW w:type="dxa" w:w="5800"/>
          </w:tcPr>
          <w:p>
            <w:r>
              <w:t xml:space="preserve">revenue rebound to Rs350-450cr on defence order inflow (Rs151cr order booked, Rs500cr QIP funded), return to thin profitability</w:t>
            </w:r>
          </w:p>
        </w:tc>
      </w:tr>
      <w:tr>
        <w:tc>
          <w:tcPr>
            <w:tcW w:type="dxa" w:w="3200"/>
            <w:shd w:fill="F2F2F2" w:val="clear"/>
          </w:tcPr>
          <w:p>
            <w:r>
              <w:rPr>
                <w:b/>
                <w:bCs/>
              </w:rPr>
              <w:t xml:space="preserve">Our FY28</w:t>
            </w:r>
          </w:p>
        </w:tc>
        <w:tc>
          <w:tcPr>
            <w:tcW w:type="dxa" w:w="5800"/>
          </w:tcPr>
          <w:p>
            <w:r>
              <w:t xml:space="preserve">scale-dependent; contingent on sustained MoD / paramilitary order flow and import-substitution policy</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new_business</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16x sales on a company that just posted a loss with 204 debtor-days; the drone-import-substitution thesis is real but order lumpiness and competition make the priced-in ramp aggressive.</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-3% (declining)</w:t>
            </w:r>
          </w:p>
        </w:tc>
      </w:tr>
      <w:tr>
        <w:tc>
          <w:tcPr>
            <w:tcW w:type="dxa" w:w="3200"/>
            <w:shd w:fill="F2F2F2" w:val="clear"/>
          </w:tcPr>
          <w:p>
            <w:r>
              <w:rPr>
                <w:b/>
                <w:bCs/>
              </w:rPr>
              <w:t xml:space="preserve">Leverage</w:t>
            </w:r>
          </w:p>
        </w:tc>
        <w:tc>
          <w:tcPr>
            <w:tcW w:type="dxa" w:w="5800"/>
          </w:tcPr>
          <w:p>
            <w:r>
              <w:t xml:space="preserve">—</w:t>
            </w:r>
          </w:p>
        </w:tc>
      </w:tr>
      <w:tr>
        <w:tc>
          <w:tcPr>
            <w:tcW w:type="dxa" w:w="3200"/>
            <w:shd w:fill="F2F2F2" w:val="clear"/>
          </w:tcPr>
          <w:p>
            <w:r>
              <w:rPr>
                <w:b/>
                <w:bCs/>
              </w:rPr>
              <w:t xml:space="preserve">FCF conversion</w:t>
            </w:r>
          </w:p>
        </w:tc>
        <w:tc>
          <w:tcPr>
            <w:tcW w:type="dxa" w:w="5800"/>
          </w:tcPr>
          <w:p>
            <w:r>
              <w:t xml:space="preserve">—</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value-destructive</w:t>
            </w:r>
          </w:p>
        </w:tc>
      </w:tr>
    </w:tbl>
    <w:p>
      <w:pPr>
        <w:pStyle w:val="Heading1"/>
        <w:spacing w:after="120" w:before="280"/>
      </w:pPr>
      <w:r>
        <w:t xml:space="preserve">Technical Read (Weekly / Monthly MACD + Bollinger Bands, or RSI/CCI/Williams %R proxy)</w:t>
      </w:r>
    </w:p>
    <w:p>
      <w:pPr>
        <w:spacing w:after="120"/>
      </w:pPr>
      <w:r>
        <w:t xml:space="preserve">Not independently pulled. Stock ~Rs 356-660 over 52 weeks, up ~75% in a year; thread notes upper circuits on India-Japan drone-pact news flow and defence-budget headlines - a news-driven, momentum-prone counter.</w:t>
      </w:r>
    </w:p>
    <w:p>
      <w:pPr>
        <w:pStyle w:val="Heading1"/>
        <w:spacing w:after="120" w:before="280"/>
      </w:pPr>
      <w:r>
        <w:t xml:space="preserve">ValuePickr Community Signal</w:t>
      </w:r>
    </w:p>
    <w:p>
      <w:pPr>
        <w:spacing w:after="120"/>
      </w:pPr>
      <w:r>
        <w:t xml:space="preserve">Read the full thread (46 posts), Sep 2024 to Aug 2026. Early sentiment (2024-early 2025) was poor - 'worst set of numbers', losses exceeding revenue, promoters trimming, and two separate reputational clouds (a Garuda Aerospace contract dispute where a court saw 'fire behind the smoke'; RTI-activist allegations about Chinese parts and a circulated 'ideaForge is a fraud' document). From mid-2025 the tone turned as the drone tailwind built: a Rs 137 Cr surveillance-drone order (battle-tested in Operation Sindoor, which several posters argued disproves the Chinese-parts claim), Rs 100 Cr Army order for ZOLT + SWITCH, NATO Stock Number for SWITCH, the US JV, the Japan DMP AI-drone pact, and Rs 151 Cr each in GoI grant and TDB loan for YETI. The most engaged bull (Aloysius_De_Sa, multiple 5-love posts) frames it explicitly as 'an order-book story rather than an earnings story - same as Zen', noting Zen Tech went to a ~Rs 20,000 Cr valuation on a ~Rs 1,600 Cr order-book peak, so ideaForge getting even a small slice of the mooted ~Rs 20,000 Cr ISR/tactical deployment could re-rate it hard. The bears (gordongekko60, ankiur.jain83) stress: order book not moving from Mar 2026, gross margins down, other income falling, execution risk (only ~Rs 300 Cr cumulative revenue since 2008), and that ideaForge did NOT bid the recent MALE/loitering-munition tenders (no expertise) - a separate ISR/tactical tranche (~Rs 17-20k Cr) is where its edge lies.</w:t>
      </w:r>
    </w:p>
    <w:p>
      <w:pPr>
        <w:spacing w:after="120"/>
      </w:pPr>
      <w:r>
        <w:rPr>
          <w:b/>
          <w:bCs/>
          <w:sz w:val="20"/>
          <w:szCs w:val="20"/>
        </w:rPr>
        <w:t xml:space="preserve">High-conviction call from a top contributor: </w:t>
      </w:r>
      <w:r>
        <w:rPr>
          <w:sz w:val="20"/>
          <w:szCs w:val="20"/>
        </w:rPr>
        <w:t xml:space="preserve">No roster/trusted users. The most-loved recent posts (Amnesiac 7 on the Rs 137 Cr order, vinaytandasi's several 3-4 love updates, Aloysius_De_Sa's 5-love 'order-book multiple' posts, Midhunjoe's procurement tracking) form a cautiously constructive consensus that this is a binary, catalyst-driven bet: cheap on forward order-book optionality versus Zen/Paras, expensive and unproven on execution.</w:t>
      </w:r>
    </w:p>
    <w:p>
      <w:pPr>
        <w:pStyle w:val="Heading1"/>
        <w:spacing w:after="120" w:before="280"/>
      </w:pPr>
      <w:r>
        <w:t xml:space="preserve">BSE Corporate Actions / Other Red Flags</w:t>
      </w:r>
    </w:p>
    <w:p>
      <w:pPr>
        <w:spacing w:after="120"/>
      </w:pPr>
      <w:r>
        <w:t xml:space="preserve">Rs 500 Cr QIP (Jul 2026) at ~Rs 795, mostly toward debt repayment and working capital; allottees were largely defence-oriented mutual funds and some foreign hedge funds (one linked to Ashish Kacholia's Bengal Finance). Board explored fund-raising options (Jun 2026). Historical: Garuda Aerospace contract-dispute litigation; RTI-activist allegations re Chinese components / national-security concern (2025) - contested by the company and not substantiated in the posts read. Promoter selling noted in 2024-25.</w:t>
      </w:r>
    </w:p>
    <w:p>
      <w:pPr>
        <w:pStyle w:val="Heading1"/>
        <w:spacing w:after="120" w:before="280"/>
      </w:pPr>
      <w:r>
        <w:t xml:space="preserve">Bull Case</w:t>
      </w:r>
    </w:p>
    <w:p>
      <w:pPr>
        <w:pStyle w:val="ListParagraph"/>
        <w:numPr>
          <w:ilvl w:val="0"/>
          <w:numId w:val="1"/>
        </w:numPr>
        <w:spacing w:after="60"/>
      </w:pPr>
      <w:r>
        <w:t xml:space="preserve">India's leading indigenous UAV OEM (&gt;50% claimed share) with genuine first-principles IP across flight control, navigation, payloads, comms and anti-jam/anti-spoof software - hard for assemblers of imported kits to match</w:t>
      </w:r>
    </w:p>
    <w:p>
      <w:pPr>
        <w:pStyle w:val="ListParagraph"/>
        <w:numPr>
          <w:ilvl w:val="0"/>
          <w:numId w:val="1"/>
        </w:numPr>
        <w:spacing w:after="60"/>
      </w:pPr>
      <w:r>
        <w:t xml:space="preserve">Strong, specific defence tailwind: Rs 137 Cr and Rs 100 Cr orders in hand, SWITCH battle-proven in Operation Sindoor, NATO Stock Number, and a mooted ~Rs 17-20k Cr ISR/tactical tranche where ideaForge has an edge</w:t>
      </w:r>
    </w:p>
    <w:p>
      <w:pPr>
        <w:pStyle w:val="ListParagraph"/>
        <w:numPr>
          <w:ilvl w:val="0"/>
          <w:numId w:val="1"/>
        </w:numPr>
        <w:spacing w:after="60"/>
      </w:pPr>
      <w:r>
        <w:t xml:space="preserve">Balance sheet repaired by the Rs 500 Cr QIP; Rs 151 Cr GoI grant + Rs 151 Cr TDB loan de-risk the YETI heavy-lift logistics UAV</w:t>
      </w:r>
    </w:p>
    <w:p>
      <w:pPr>
        <w:pStyle w:val="ListParagraph"/>
        <w:numPr>
          <w:ilvl w:val="0"/>
          <w:numId w:val="1"/>
        </w:numPr>
        <w:spacing w:after="60"/>
      </w:pPr>
      <w:r>
        <w:t xml:space="preserve">Global optionality: US JV (First Forge) + Vantage Robotics stake, Japan DMP AI-drone pact, expansion toward loitering/kamikaze via partners</w:t>
      </w:r>
    </w:p>
    <w:p>
      <w:pPr>
        <w:pStyle w:val="ListParagraph"/>
        <w:numPr>
          <w:ilvl w:val="0"/>
          <w:numId w:val="1"/>
        </w:numPr>
        <w:spacing w:after="60"/>
      </w:pPr>
      <w:r>
        <w:t xml:space="preserve">If valued on order-book multiples like Zen Tech, even a small share of the large upcoming deployments could drive a sharp re-rating</w:t>
      </w:r>
    </w:p>
    <w:p>
      <w:pPr>
        <w:pStyle w:val="Heading1"/>
        <w:spacing w:after="120" w:before="280"/>
      </w:pPr>
      <w:r>
        <w:t xml:space="preserve">Bear Case / Key Risks</w:t>
      </w:r>
    </w:p>
    <w:p>
      <w:pPr>
        <w:pStyle w:val="ListParagraph"/>
        <w:numPr>
          <w:ilvl w:val="0"/>
          <w:numId w:val="1"/>
        </w:numPr>
        <w:spacing w:after="60"/>
      </w:pPr>
      <w:r>
        <w:t xml:space="preserve">Still loss-making (negative ROCE/ROE); FY25 revenue -48%; only ~Rs 300 Cr cumulative revenue since inception in 2008 - execution/scale-up is unproven</w:t>
      </w:r>
    </w:p>
    <w:p>
      <w:pPr>
        <w:pStyle w:val="ListParagraph"/>
        <w:numPr>
          <w:ilvl w:val="0"/>
          <w:numId w:val="1"/>
        </w:numPr>
        <w:spacing w:after="60"/>
      </w:pPr>
      <w:r>
        <w:t xml:space="preserve">The order book has barely moved from March 2026 - the entire bull case rests on future orders that have not yet materialised</w:t>
      </w:r>
    </w:p>
    <w:p>
      <w:pPr>
        <w:pStyle w:val="ListParagraph"/>
        <w:numPr>
          <w:ilvl w:val="0"/>
          <w:numId w:val="1"/>
        </w:numPr>
        <w:spacing w:after="60"/>
      </w:pPr>
      <w:r>
        <w:t xml:space="preserve">Revenue and margins are extremely lumpy and depend on Indian defence delivery timing; gross margins compressed in the latest quarter</w:t>
      </w:r>
    </w:p>
    <w:p>
      <w:pPr>
        <w:pStyle w:val="ListParagraph"/>
        <w:numPr>
          <w:ilvl w:val="0"/>
          <w:numId w:val="1"/>
        </w:numPr>
        <w:spacing w:after="60"/>
      </w:pPr>
      <w:r>
        <w:t xml:space="preserve">Did not bid the recent MALE/HALE and loitering-munition tenders (no expertise); offensive capability is still under development and licence-dependent</w:t>
      </w:r>
    </w:p>
    <w:p>
      <w:pPr>
        <w:pStyle w:val="ListParagraph"/>
        <w:numPr>
          <w:ilvl w:val="0"/>
          <w:numId w:val="1"/>
        </w:numPr>
        <w:spacing w:after="60"/>
      </w:pPr>
      <w:r>
        <w:t xml:space="preserve">Historical reputational clouds (Garuda dispute, Chinese-parts RTI allegations) - dormant but not fully closed; promoter selling history; QIP dilution at ~Rs 795</w:t>
      </w:r>
    </w:p>
    <w:p>
      <w:pPr>
        <w:pStyle w:val="ListParagraph"/>
        <w:numPr>
          <w:ilvl w:val="0"/>
          <w:numId w:val="1"/>
        </w:numPr>
        <w:spacing w:after="60"/>
      </w:pPr>
      <w:r>
        <w:t xml:space="preserve">'Order-book multiple' valuation is a sentiment regime that can compress as fast as it expands</w:t>
      </w:r>
    </w:p>
    <w:p>
      <w:pPr>
        <w:pStyle w:val="Heading1"/>
        <w:spacing w:after="120" w:before="280"/>
      </w:pPr>
      <w:r>
        <w:t xml:space="preserve">Market-Cap Tier (informational — not a gate in this project)</w:t>
      </w:r>
    </w:p>
    <w:p>
      <w:pPr>
        <w:spacing w:after="120"/>
      </w:pPr>
      <w:r>
        <w:rPr>
          <w:b/>
          <w:bCs/>
        </w:rPr>
        <w:t xml:space="preserve">Small/Mid-cap (~Rs 4,036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no  (score 2 / 4)</w:t>
      </w:r>
    </w:p>
    <w:p>
      <w:pPr>
        <w:spacing w:after="120"/>
      </w:pPr>
      <w:r>
        <w:rPr>
          <w:i/>
          <w:iCs/>
          <w:color w:val="666666"/>
          <w:sz w:val="20"/>
          <w:szCs w:val="20"/>
        </w:rPr>
        <w:t xml:space="preserve">ISR/tactical defence-procurement driver is real and specific (tailwind=yes); order book stalled since March 2026 per bear case; valuation regime called 'fragile'.</w:t>
      </w:r>
    </w:p>
    <w:p>
      <w:pPr>
        <w:pStyle w:val="Heading1"/>
        <w:spacing w:after="120" w:before="280"/>
      </w:pPr>
      <w:r>
        <w:t xml:space="preserve">Verdict</w:t>
      </w:r>
    </w:p>
    <w:p>
      <w:pPr>
        <w:spacing w:after="120"/>
      </w:pPr>
      <w:r>
        <w:rPr>
          <w:b/>
          <w:bCs/>
          <w:sz w:val="24"/>
          <w:szCs w:val="24"/>
        </w:rPr>
        <w:t xml:space="preserve">A binary, catalyst-driven defence-drone bet that fits the 10x frame if orders convert - but conviction is LOW and unconfirmed while the order book is stagnant and the company is still loss-making</w:t>
      </w:r>
    </w:p>
    <w:p>
      <w:pPr>
        <w:pStyle w:val="ListParagraph"/>
        <w:numPr>
          <w:ilvl w:val="0"/>
          <w:numId w:val="1"/>
        </w:numPr>
        <w:spacing w:after="60"/>
      </w:pPr>
      <w:r>
        <w:t xml:space="preserve">Per the recent-inflection rule: a weak trailing record (FY25 revenue -48%, losses) is offset by a specific, credible catalyst set - a large mooted ISR/tactical procurement tranche, orders already in hand, indigenous IP, and a repaired balance sheet - so the 10x-in-2-3-years frame applies rather than 'neither'</w:t>
      </w:r>
    </w:p>
    <w:p>
      <w:pPr>
        <w:pStyle w:val="ListParagraph"/>
        <w:numPr>
          <w:ilvl w:val="0"/>
          <w:numId w:val="1"/>
        </w:numPr>
        <w:spacing w:after="60"/>
      </w:pPr>
      <w:r>
        <w:t xml:space="preserve">Conviction is LOW / explicitly unconfirmed: profitability is not established, quarterly results are highly lumpy, and the thread's central bear point - the order book has not grown since March 2026 - directly undercuts the thesis until it reverses; the valuation regime (order-book multiples, like Zen) is itself fragile</w:t>
      </w:r>
    </w:p>
    <w:p>
      <w:pPr>
        <w:pStyle w:val="ListParagraph"/>
        <w:numPr>
          <w:ilvl w:val="0"/>
          <w:numId w:val="1"/>
        </w:numPr>
        <w:spacing w:after="60"/>
      </w:pPr>
      <w:r>
        <w:t xml:space="preserve">Not in the old 108-stock project. Re-check trigger: a step-up in order book from new ISR/tactical wins, two consecutive profitable quarters, and evidence the loitering-munition/US/Japan optionality is converting to revenue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2026-09-09T18:15:33.451Z</dcterms:created>
  <dcterms:modified xsi:type="dcterms:W3CDTF">2026-09-09T18:15:33.452Z</dcterms:modified>
</cp:coreProperties>
</file>

<file path=docProps/custom.xml><?xml version="1.0" encoding="utf-8"?>
<Properties xmlns="http://schemas.openxmlformats.org/officeDocument/2006/custom-properties" xmlns:vt="http://schemas.openxmlformats.org/officeDocument/2006/docPropsVTypes"/>
</file>