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Indo Borax &amp; Chemicals Ltd</w:t>
      </w:r>
    </w:p>
    <w:p>
      <w:pPr>
        <w:pBdr>
          <w:bottom w:val="single" w:color="CCCCCC" w:sz="6" w:space="8"/>
        </w:pBdr>
        <w:spacing w:after="200"/>
      </w:pPr>
      <w:r>
        <w:rPr>
          <w:i/>
          <w:iCs/>
          <w:color w:val="666666"/>
          <w:sz w:val="22"/>
          <w:szCs w:val="22"/>
        </w:rPr>
        <w:t xml:space="preserve">India's leading boric-acid maker, protected by import restrictions rather than an internal moat, with a long history of poor capital allocation -- now under new PE-backed (Edelweiss) control aiming to move it from commodity supply to specialty boron chemistry; a genuine but wholly unproven turnaround</w:t>
      </w:r>
    </w:p>
    <w:p>
      <w:pPr>
        <w:pStyle w:val="Heading1"/>
        <w:spacing w:after="120" w:before="280"/>
      </w:pPr>
      <w:r>
        <w:t xml:space="preserve">Business Overview</w:t>
      </w:r>
    </w:p>
    <w:p>
      <w:pPr>
        <w:spacing w:after="120"/>
      </w:pPr>
      <w:r>
        <w:t xml:space="preserve">Indo Borax &amp; Chemicals manufactures boron-based industrial chemicals -- borax pentahydrate, boric acid, and boron derivatives -- from imported borax/ulexite, at plants including Pithampur. It is one of only ~4 Indian firms with the IS 10116 certification required to produce boric acid, which (together with import restrictions on boron raw materials, classified by the Ministry of Mines as high economic importance / high supply risk) has underpinned above-average operating margins and ROCE for decades. It briefly made lithium hydroxide monohydrate but stopped 5+ years ago with no plan to restart. In Dec 2025 control passed from the niche founding promoter to an Edelweiss PE-backed platform, with a stated intent to scale into higher-value specialty applications; an EBITDA-linked ESOP and new management have been referenced.</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1,618 Cr (small-cap)</w:t>
            </w:r>
          </w:p>
        </w:tc>
      </w:tr>
      <w:tr>
        <w:tc>
          <w:tcPr>
            <w:tcW w:type="dxa" w:w="3200"/>
            <w:shd w:fill="F2F2F2" w:val="clear"/>
          </w:tcPr>
          <w:p>
            <w:r>
              <w:rPr>
                <w:b/>
                <w:bCs/>
              </w:rPr>
              <w:t xml:space="preserve">ROCE / ROE</w:t>
            </w:r>
          </w:p>
        </w:tc>
        <w:tc>
          <w:tcPr>
            <w:tcW w:type="dxa" w:w="5800"/>
          </w:tcPr>
          <w:p>
            <w:r>
              <w:t xml:space="preserve">~26% / ~19% recent (3-yr ROE ~12%)</w:t>
            </w:r>
          </w:p>
        </w:tc>
      </w:tr>
      <w:tr>
        <w:tc>
          <w:tcPr>
            <w:tcW w:type="dxa" w:w="3200"/>
            <w:shd w:fill="F2F2F2" w:val="clear"/>
          </w:tcPr>
          <w:p>
            <w:r>
              <w:rPr>
                <w:b/>
                <w:bCs/>
              </w:rPr>
              <w:t xml:space="preserve">Revenue growth</w:t>
            </w:r>
          </w:p>
        </w:tc>
        <w:tc>
          <w:tcPr>
            <w:tcW w:type="dxa" w:w="5800"/>
          </w:tcPr>
          <w:p>
            <w:r>
              <w:t xml:space="preserve">~8.4% CAGR over 5 years (poor); Q1 FY27 revenue ~Rs 70 Cr, +31% YoY; PAT +59% YoY</w:t>
            </w:r>
          </w:p>
        </w:tc>
      </w:tr>
      <w:tr>
        <w:tc>
          <w:tcPr>
            <w:tcW w:type="dxa" w:w="3200"/>
            <w:shd w:fill="F2F2F2" w:val="clear"/>
          </w:tcPr>
          <w:p>
            <w:r>
              <w:rPr>
                <w:b/>
                <w:bCs/>
              </w:rPr>
              <w:t xml:space="preserve">Debt</w:t>
            </w:r>
          </w:p>
        </w:tc>
        <w:tc>
          <w:tcPr>
            <w:tcW w:type="dxa" w:w="5800"/>
          </w:tcPr>
          <w:p>
            <w:r>
              <w:t xml:space="preserve">Effectively debt-free (D/E ~3%)</w:t>
            </w:r>
          </w:p>
        </w:tc>
      </w:tr>
      <w:tr>
        <w:tc>
          <w:tcPr>
            <w:tcW w:type="dxa" w:w="3200"/>
            <w:shd w:fill="F2F2F2" w:val="clear"/>
          </w:tcPr>
          <w:p>
            <w:r>
              <w:rPr>
                <w:b/>
                <w:bCs/>
              </w:rPr>
              <w:t xml:space="preserve">Cash / property</w:t>
            </w:r>
          </w:p>
        </w:tc>
        <w:tc>
          <w:tcPr>
            <w:tcW w:type="dxa" w:w="5800"/>
          </w:tcPr>
          <w:p>
            <w:r>
              <w:t xml:space="preserve">~Rs 120 Cr cash-equivalents historically; ~Rs 78 Cr investment property (now yielding rent)</w:t>
            </w:r>
          </w:p>
        </w:tc>
      </w:tr>
      <w:tr>
        <w:tc>
          <w:tcPr>
            <w:tcW w:type="dxa" w:w="3200"/>
            <w:shd w:fill="F2F2F2" w:val="clear"/>
          </w:tcPr>
          <w:p>
            <w:r>
              <w:rPr>
                <w:b/>
                <w:bCs/>
              </w:rPr>
              <w:t xml:space="preserve">Stock P/E</w:t>
            </w:r>
          </w:p>
        </w:tc>
        <w:tc>
          <w:tcPr>
            <w:tcW w:type="dxa" w:w="5800"/>
          </w:tcPr>
          <w:p>
            <w:r>
              <w:t xml:space="preserve">~25-30x (rich for a commodity chemical with an unproven pivot)</w:t>
            </w:r>
          </w:p>
        </w:tc>
      </w:tr>
    </w:tbl>
    <w:p>
      <w:pPr>
        <w:spacing w:after="100"/>
      </w:pPr>
    </w:p>
    <w:p>
      <w:pPr>
        <w:spacing w:after="120"/>
      </w:pPr>
      <w:r>
        <w:t xml:space="preserve">The base business has a durable-looking ROCE (~26%) and a clean balance sheet, but the moat is external -- boron RM import restriction plus a scarce certification -- not a company-built advantage, and the multi-decade record is one of weak growth (~8% CAGR) and questionable capital allocation (Rs 42 Cr Mumbai residential-property purchase in 2020; persistent parking of cash in real estate and, per AR 2025, ~Rs 81 Cr of 'other financial assets' as FDs with unnamed corporates driving operating cash flow to ~-Rs 72 Cr). Promoters sold shares in the open market repeatedly over the years. The bull case is entirely the Dec-2025 Edelweiss control transfer: a PE sponsor, new incentives, and three quarters of moderate growth (Q1 FY27 revenue +31%, PAT +59%). That is a credible catalyst but zero quarters of proof that the specialty-chemistry ambition converts to durable earnings.</w:t>
      </w:r>
    </w:p>
    <w:p>
      <w:pPr>
        <w:pStyle w:val="Heading1"/>
        <w:spacing w:after="120" w:before="280"/>
      </w:pPr>
      <w:r>
        <w:t xml:space="preserve">Technical Read (Weekly / Monthly MACD + Bollinger Bands, or RSI/CCI/Williams %R proxy)</w:t>
      </w:r>
    </w:p>
    <w:p>
      <w:pPr>
        <w:spacing w:after="120"/>
      </w:pPr>
      <w:r>
        <w:t xml:space="preserve">Not pulled. Stock has re-rated on the acquisition and recent growth.</w:t>
      </w:r>
    </w:p>
    <w:p>
      <w:pPr>
        <w:pStyle w:val="Heading1"/>
        <w:spacing w:after="120" w:before="280"/>
      </w:pPr>
      <w:r>
        <w:t xml:space="preserve">ValuePickr Community Signal</w:t>
      </w:r>
    </w:p>
    <w:p>
      <w:pPr>
        <w:spacing w:after="120"/>
      </w:pPr>
      <w:r>
        <w:t xml:space="preserve">ValuePickr thread topic 1196 (~60 posts, most recent 50 read; last activity Dec 2025). Long-running scepticism: rohil (2022) -- 'the only moat lies outside the company - import regulation for boric acid... a commodity survived by import regulation'; multiple posters flag the real-estate capital allocation, continuous promoter selling, and (Nov 2025) the negative operating cash flow / corporate-FD disclosure. dineshssairam (2023, elevated) did the most constructive work, establishing why the IS 10116 certification + import restrictions sustain the margins. puran_tak (Dec 2025) framed the Edelweiss deal as 'a control transfer from a niche promoter-led setup to a PE-backed strategic platform' but noted he could not explain why Edelweiss bought in given weak recent economics. No trusted-user buy call.</w:t>
      </w:r>
    </w:p>
    <w:p>
      <w:pPr>
        <w:spacing w:after="120"/>
      </w:pPr>
      <w:r>
        <w:rPr>
          <w:b/>
          <w:bCs/>
          <w:sz w:val="20"/>
          <w:szCs w:val="20"/>
        </w:rPr>
        <w:t xml:space="preserve">High-conviction call from a top contributor: </w:t>
      </w:r>
      <w:r>
        <w:rPr>
          <w:sz w:val="20"/>
          <w:szCs w:val="20"/>
        </w:rPr>
        <w:t xml:space="preserve">Net-neutral-to-cautious. The one elevated-tier contributor (dineshssairam) explained the margin structure without expressing a buy conviction; the prevailing thread view is 'commodity protected by regulation, poor capital allocators'. The PE-control datapoint is new and not yet digested by the community.</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2023-11-02 — dineshssairam</w:t>
      </w:r>
      <w:r>
        <w:rPr>
          <w:i/>
          <w:iCs/>
          <w:color w:val="666666"/>
          <w:sz w:val="18"/>
          <w:szCs w:val="18"/>
        </w:rPr>
        <w:t xml:space="preserve"> (Indo Borax and Chemicals)</w:t>
      </w:r>
      <w:r>
        <w:rPr>
          <w:sz w:val="20"/>
          <w:szCs w:val="20"/>
        </w:rPr>
        <w:br/>
        <w:t xml:space="preserve">: Analytical, not a call -- established that only ~4 firms hold IS 10116 certification and that import restrictions on boron RM are the reason for Indo Borax's sustained above-average operating margins / ROCE.</w:t>
      </w:r>
    </w:p>
    <w:p>
      <w:pPr>
        <w:pStyle w:val="Heading1"/>
        <w:spacing w:after="120" w:before="280"/>
      </w:pPr>
      <w:r>
        <w:t xml:space="preserve">BSE Corporate Actions / Other Red Flags</w:t>
      </w:r>
    </w:p>
    <w:p>
      <w:pPr>
        <w:spacing w:after="120"/>
      </w:pPr>
      <w:r>
        <w:t xml:space="preserve">HIGH-CAUTION-adjacent governance history (not tier-classified): 2020 Rs 42 Cr residential-property purchase from cash reserves; repeated promoter open-market selling; AR 2025 operating cash flow ~-Rs 72 Cr driven by ~Rs 81 Cr of FDs placed with unnamed corporates. Dec 2025 control acquisition by an Edelweiss PE-backed entity -- a structural change that may reset the governance profile, but unproven.</w:t>
      </w:r>
    </w:p>
    <w:p>
      <w:pPr>
        <w:pStyle w:val="Heading1"/>
        <w:spacing w:after="120" w:before="280"/>
      </w:pPr>
      <w:r>
        <w:t xml:space="preserve">Bull Case</w:t>
      </w:r>
    </w:p>
    <w:p>
      <w:pPr>
        <w:pStyle w:val="ListParagraph"/>
        <w:numPr>
          <w:ilvl w:val="0"/>
          <w:numId w:val="1"/>
        </w:numPr>
        <w:spacing w:after="60"/>
      </w:pPr>
      <w:r>
        <w:t xml:space="preserve">New Edelweiss PE-backed control (Dec 2025) with a stated plan to move from commodity boron supply to higher-value specialty chemistry; EBITDA-linked incentives</w:t>
      </w:r>
    </w:p>
    <w:p>
      <w:pPr>
        <w:pStyle w:val="ListParagraph"/>
        <w:numPr>
          <w:ilvl w:val="0"/>
          <w:numId w:val="1"/>
        </w:numPr>
        <w:spacing w:after="60"/>
      </w:pPr>
      <w:r>
        <w:t xml:space="preserve">Durable base economics -- ROCE ~26%, effectively debt-free, ~Rs 120 Cr cash</w:t>
      </w:r>
    </w:p>
    <w:p>
      <w:pPr>
        <w:pStyle w:val="ListParagraph"/>
        <w:numPr>
          <w:ilvl w:val="0"/>
          <w:numId w:val="1"/>
        </w:numPr>
        <w:spacing w:after="60"/>
      </w:pPr>
      <w:r>
        <w:t xml:space="preserve">Scarcity value: one of only ~4 IS 10116-certified boric-acid producers; boron RM import-restricted and officially 'high supply risk'</w:t>
      </w:r>
    </w:p>
    <w:p>
      <w:pPr>
        <w:pStyle w:val="ListParagraph"/>
        <w:numPr>
          <w:ilvl w:val="0"/>
          <w:numId w:val="1"/>
        </w:numPr>
        <w:spacing w:after="60"/>
      </w:pPr>
      <w:r>
        <w:t xml:space="preserve">Three consecutive quarters of moderate growth; Q1 FY27 revenue +31%, PAT +59%</w:t>
      </w:r>
    </w:p>
    <w:p>
      <w:pPr>
        <w:pStyle w:val="Heading1"/>
        <w:spacing w:after="120" w:before="280"/>
      </w:pPr>
      <w:r>
        <w:t xml:space="preserve">Bear Case / Key Risks</w:t>
      </w:r>
    </w:p>
    <w:p>
      <w:pPr>
        <w:pStyle w:val="ListParagraph"/>
        <w:numPr>
          <w:ilvl w:val="0"/>
          <w:numId w:val="1"/>
        </w:numPr>
        <w:spacing w:after="60"/>
      </w:pPr>
      <w:r>
        <w:t xml:space="preserve">The moat is regulatory, not internal -- 'a commodity survived by import regulation' (thread consensus)</w:t>
      </w:r>
    </w:p>
    <w:p>
      <w:pPr>
        <w:pStyle w:val="ListParagraph"/>
        <w:numPr>
          <w:ilvl w:val="0"/>
          <w:numId w:val="1"/>
        </w:numPr>
        <w:spacing w:after="60"/>
      </w:pPr>
      <w:r>
        <w:t xml:space="preserve">Multi-decade record of ~8% growth and poor capital allocation (real estate over downstream integration)</w:t>
      </w:r>
    </w:p>
    <w:p>
      <w:pPr>
        <w:pStyle w:val="ListParagraph"/>
        <w:numPr>
          <w:ilvl w:val="0"/>
          <w:numId w:val="1"/>
        </w:numPr>
        <w:spacing w:after="60"/>
      </w:pPr>
      <w:r>
        <w:t xml:space="preserve">AR 2025 operating cash flow ~-Rs 72 Cr on unexplained corporate FDs; historical persistent promoter selling</w:t>
      </w:r>
    </w:p>
    <w:p>
      <w:pPr>
        <w:pStyle w:val="ListParagraph"/>
        <w:numPr>
          <w:ilvl w:val="0"/>
          <w:numId w:val="1"/>
        </w:numPr>
        <w:spacing w:after="60"/>
      </w:pPr>
      <w:r>
        <w:t xml:space="preserve">Lithium angle is dead -- stopped making lithium hydroxide 5+ years ago, no plan to restart</w:t>
      </w:r>
    </w:p>
    <w:p>
      <w:pPr>
        <w:pStyle w:val="ListParagraph"/>
        <w:numPr>
          <w:ilvl w:val="0"/>
          <w:numId w:val="1"/>
        </w:numPr>
        <w:spacing w:after="60"/>
      </w:pPr>
      <w:r>
        <w:t xml:space="preserve">~25-30x earnings prices in a successful pivot that has zero quarters of proof</w:t>
      </w:r>
    </w:p>
    <w:p>
      <w:pPr>
        <w:pStyle w:val="ListParagraph"/>
        <w:numPr>
          <w:ilvl w:val="0"/>
          <w:numId w:val="1"/>
        </w:numPr>
        <w:spacing w:after="60"/>
      </w:pPr>
      <w:r>
        <w:t xml:space="preserve">Lead is an untrusted X handle; no trusted-user conviction</w:t>
      </w:r>
    </w:p>
    <w:p>
      <w:pPr>
        <w:pStyle w:val="Heading1"/>
        <w:spacing w:after="120" w:before="280"/>
      </w:pPr>
      <w:r>
        <w:t xml:space="preserve">Market-Cap Tier (informational — not a gate in this project)</w:t>
      </w:r>
    </w:p>
    <w:p>
      <w:pPr>
        <w:spacing w:after="120"/>
      </w:pPr>
      <w:r>
        <w:rPr>
          <w:b/>
          <w:bCs/>
        </w:rPr>
        <w:t xml:space="preserve">Small-cap (~Rs 1,618 Cr)</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weak · TAM: weak · moat: weak · valuation: no  (score 1.5 / 4)</w:t>
      </w:r>
    </w:p>
    <w:p>
      <w:pPr>
        <w:spacing w:after="120"/>
      </w:pPr>
      <w:r>
        <w:rPr>
          <w:i/>
          <w:iCs/>
          <w:color w:val="666666"/>
          <w:sz w:val="20"/>
          <w:szCs w:val="20"/>
        </w:rPr>
        <w:t xml:space="preserve">tailwind=weak (niche boron specialty, no accelerating demand pull; the Dec-2025 catalyst is an ownership change, not a tailwind). tam=weak (small market unless the specialty pivot delivers). moat=weak (import restriction + scarce IS 10116 certification sustain ROCE but are external, not company-built). valuation=no (~25-30x for a zero-proof turnaround). Score 1.5 -&gt; neither, hard.</w:t>
      </w:r>
    </w:p>
    <w:p>
      <w:pPr>
        <w:pStyle w:val="Heading1"/>
        <w:spacing w:after="120" w:before="280"/>
      </w:pPr>
      <w:r>
        <w:t xml:space="preserve">Verdict</w:t>
      </w:r>
    </w:p>
    <w:p>
      <w:pPr>
        <w:spacing w:after="120"/>
      </w:pPr>
      <w:r>
        <w:rPr>
          <w:b/>
          <w:bCs/>
          <w:sz w:val="24"/>
          <w:szCs w:val="24"/>
        </w:rPr>
        <w:t xml:space="preserve">A clean-balance-sheet, regulation-protected commodity chemical with a credible new-owner turnaround catalyst but no proof yet and a rich multiple -- 'neither', conviction Low-Medium, watch the PE thesis</w:t>
      </w:r>
    </w:p>
    <w:p>
      <w:pPr>
        <w:pStyle w:val="ListParagraph"/>
        <w:numPr>
          <w:ilvl w:val="0"/>
          <w:numId w:val="1"/>
        </w:numPr>
        <w:spacing w:after="60"/>
      </w:pPr>
      <w:r>
        <w:t xml:space="preserve">No live-theme match -- the historical lithium/EV-battery-chemical angle keywords match the priority-2 EV theme, but the company explicitly exited lithium hydroxide years ago, so that is not a real hook; this is a recency/lead-driven pass.</w:t>
      </w:r>
    </w:p>
    <w:p>
      <w:pPr>
        <w:pStyle w:val="ListParagraph"/>
        <w:numPr>
          <w:ilvl w:val="0"/>
          <w:numId w:val="1"/>
        </w:numPr>
        <w:spacing w:after="60"/>
      </w:pPr>
      <w:r>
        <w:t xml:space="preserve">four_box score 1.5 -&gt; 'neither' (hard). tailwind weak (boron specialty is a niche, no accelerating pull), tam weak (small addressable market unless the specialty pivot genuinely enlarges it), moat weak (external regulatory protection + scarce certification give sustained ROCE but are not company-built and not expanding), valuation no (~25-30x for an unproven pivot). The live-inflection rule feeds the boxes but the inflection here is an ownership change, not a demand tailwind, so tailwind stays weak.</w:t>
      </w:r>
    </w:p>
    <w:p>
      <w:pPr>
        <w:pStyle w:val="ListParagraph"/>
        <w:numPr>
          <w:ilvl w:val="0"/>
          <w:numId w:val="1"/>
        </w:numPr>
        <w:spacing w:after="60"/>
      </w:pPr>
      <w:r>
        <w:t xml:space="preserve">Conviction Low-Medium rather than Low: the Edelweiss control transfer is a real, specific catalyst on a business that already earns 26% ROCE debt-free -- worth tracking. Not marked revisit_after_30d (thesis 'neither'); re-check on the FY27 results for evidence the specialty-chemistry pivot is converting to volume and margin, and for clean operating cash flow under the new owners.</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2026-09-09T13:51:41.898Z</dcterms:created>
  <dcterms:modified xsi:type="dcterms:W3CDTF">2026-09-09T13:51:41.899Z</dcterms:modified>
</cp:coreProperties>
</file>

<file path=docProps/custom.xml><?xml version="1.0" encoding="utf-8"?>
<Properties xmlns="http://schemas.openxmlformats.org/officeDocument/2006/custom-properties" xmlns:vt="http://schemas.openxmlformats.org/officeDocument/2006/docPropsVTypes"/>
</file>