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Innovassynth Technologies (India) Ltd (formerly Innovassynth Investments Ltd)</w:t>
      </w:r>
    </w:p>
    <w:p>
      <w:pPr>
        <w:pBdr>
          <w:bottom w:val="single" w:color="CCCCCC" w:sz="6" w:space="8"/>
        </w:pBdr>
        <w:spacing w:after="200"/>
      </w:pPr>
      <w:r>
        <w:rPr>
          <w:i/>
          <w:iCs/>
          <w:color w:val="666666"/>
          <w:sz w:val="22"/>
          <w:szCs w:val="22"/>
        </w:rPr>
        <w:t xml:space="preserve">Rajan Raheja/RARE-backed CRDMO (oligonucleotide building blocks + pharma intermediates + specialty chemicals) whose long-pending reverse merger is now effective, but the operating business is still deeply loss-making with real customer-concentration and capacity-constraint risk that a trusted tracker flagged as unfavourable risk-reward</w:t>
      </w:r>
    </w:p>
    <w:p>
      <w:pPr>
        <w:pStyle w:val="Heading1"/>
        <w:spacing w:after="120" w:before="280"/>
      </w:pPr>
      <w:r>
        <w:t xml:space="preserve">Business Overview</w:t>
      </w:r>
    </w:p>
    <w:p>
      <w:pPr>
        <w:spacing w:after="120"/>
      </w:pPr>
      <w:r>
        <w:t xml:space="preserve">Innovassynth Investments Ltd was originally a pure holding company for a stake in Innovassynth Technologies (a CRDMO with a 70-acre Khopoli, Maharashtra facility plus a Pune R&amp;D centre, engaged in pharmaceutical intermediates, oligonucleotide building blocks/nucleic-acid chemistry, and specialty chemicals for global pharma/biotech/advanced-materials customers). A reverse merger absorbing the technologies business into the listed holding entity -- backed by the Rajan Raheja Group (also behind Exide, Supreme Petrochem, Sonata Software) with a legacy Jhunjhunwala-linked stake via Utpal Sheth/Chanakya Corporate Services -- was announced Dec-2024 and is now confirmed EFFECTIVE as of Sep-2026 (thread rename request, post 58).</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1,274 Cr</w:t>
            </w:r>
          </w:p>
        </w:tc>
      </w:tr>
      <w:tr>
        <w:tc>
          <w:tcPr>
            <w:tcW w:type="dxa" w:w="3200"/>
            <w:shd w:fill="F2F2F2" w:val="clear"/>
          </w:tcPr>
          <w:p>
            <w:r>
              <w:rPr>
                <w:b/>
                <w:bCs/>
              </w:rPr>
              <w:t xml:space="preserve">ROCE / ROE (recent)</w:t>
            </w:r>
          </w:p>
        </w:tc>
        <w:tc>
          <w:tcPr>
            <w:tcW w:type="dxa" w:w="5800"/>
          </w:tcPr>
          <w:p>
            <w:r>
              <w:t xml:space="preserve">~-82.85% / ~-64.51% -- deeply negative</w:t>
            </w:r>
          </w:p>
        </w:tc>
      </w:tr>
      <w:tr>
        <w:tc>
          <w:tcPr>
            <w:tcW w:type="dxa" w:w="3200"/>
            <w:shd w:fill="F2F2F2" w:val="clear"/>
          </w:tcPr>
          <w:p>
            <w:r>
              <w:rPr>
                <w:b/>
                <w:bCs/>
              </w:rPr>
              <w:t xml:space="preserve">52-week range</w:t>
            </w:r>
          </w:p>
        </w:tc>
        <w:tc>
          <w:tcPr>
            <w:tcW w:type="dxa" w:w="5800"/>
          </w:tcPr>
          <w:p>
            <w:r>
              <w:t xml:space="preserve">Rs 45.01 - Rs 137.20</w:t>
            </w:r>
          </w:p>
        </w:tc>
      </w:tr>
      <w:tr>
        <w:tc>
          <w:tcPr>
            <w:tcW w:type="dxa" w:w="3200"/>
            <w:shd w:fill="F2F2F2" w:val="clear"/>
          </w:tcPr>
          <w:p>
            <w:r>
              <w:rPr>
                <w:b/>
                <w:bCs/>
              </w:rPr>
              <w:t xml:space="preserve">3-year / 1-year / 6-month return</w:t>
            </w:r>
          </w:p>
        </w:tc>
        <w:tc>
          <w:tcPr>
            <w:tcW w:type="dxa" w:w="5800"/>
          </w:tcPr>
          <w:p>
            <w:r>
              <w:t xml:space="preserve">+307.77% / +46.55% / +108.45%</w:t>
            </w:r>
          </w:p>
        </w:tc>
      </w:tr>
      <w:tr>
        <w:tc>
          <w:tcPr>
            <w:tcW w:type="dxa" w:w="3200"/>
            <w:shd w:fill="F2F2F2" w:val="clear"/>
          </w:tcPr>
          <w:p>
            <w:r>
              <w:rPr>
                <w:b/>
                <w:bCs/>
              </w:rPr>
              <w:t xml:space="preserve">P/B</w:t>
            </w:r>
          </w:p>
        </w:tc>
        <w:tc>
          <w:tcPr>
            <w:tcW w:type="dxa" w:w="5800"/>
          </w:tcPr>
          <w:p>
            <w:r>
              <w:t xml:space="preserve">~7.76-15x book (varies by source)</w:t>
            </w:r>
          </w:p>
        </w:tc>
      </w:tr>
      <w:tr>
        <w:tc>
          <w:tcPr>
            <w:tcW w:type="dxa" w:w="3200"/>
            <w:shd w:fill="F2F2F2" w:val="clear"/>
          </w:tcPr>
          <w:p>
            <w:r>
              <w:rPr>
                <w:b/>
                <w:bCs/>
              </w:rPr>
              <w:t xml:space="preserve">Historical revenue (pre-merger, Innovassynth Technologies)</w:t>
            </w:r>
          </w:p>
        </w:tc>
        <w:tc>
          <w:tcPr>
            <w:tcW w:type="dxa" w:w="5800"/>
          </w:tcPr>
          <w:p>
            <w:r>
              <w:t xml:space="preserve">FY22 ~Rs 200 Cr, FY23 ~Rs 185 Cr; PAT ~Rs 21.9 Cr FY22 (~10% margin) before FY23/FY24 losses</w:t>
            </w:r>
          </w:p>
        </w:tc>
      </w:tr>
      <w:tr>
        <w:tc>
          <w:tcPr>
            <w:tcW w:type="dxa" w:w="3200"/>
            <w:shd w:fill="F2F2F2" w:val="clear"/>
          </w:tcPr>
          <w:p>
            <w:r>
              <w:rPr>
                <w:b/>
                <w:bCs/>
              </w:rPr>
              <w:t xml:space="preserve">Recent quarter</w:t>
            </w:r>
          </w:p>
        </w:tc>
        <w:tc>
          <w:tcPr>
            <w:tcW w:type="dxa" w:w="5800"/>
          </w:tcPr>
          <w:p>
            <w:r>
              <w:t xml:space="preserve">Q2 FY26 net loss ~Rs 4.94 Cr (EPS -1.77); financial score reported to have swung from -14 to +19 over the prior 3 months, i.e. a nascent improvement</w:t>
            </w:r>
          </w:p>
        </w:tc>
      </w:tr>
    </w:tbl>
    <w:p>
      <w:pPr>
        <w:spacing w:after="100"/>
      </w:pPr>
    </w:p>
    <w:p>
      <w:pPr>
        <w:spacing w:after="120"/>
      </w:pPr>
      <w:r>
        <w:t xml:space="preserve">The pre-merger operating business had ~10% PAT margins in FY21-22 before swinging to losses in FY23-24, attributed by the company to one-time strategic-consultancy fees, higher R&amp;D/employee costs, and partial facility utilisation during a customer-base expansion push. ROCE/ROE remain deeply negative on the most recent reported figures, even as a recent quarterly financial-score metric shows improvement. The stock has re-rated sharply (+307% over 3 years, +108% in the last 6 months) well ahead of any confirmed profitability turnaround -- the market is pricing the CDMO/oligonucleotide narrative and Raheja-Group backing, not trailing fundamentals.</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CDMO / specialty &amp; aroma chemicals — peptides + oligonucleotides margin vector</w:t>
            </w:r>
          </w:p>
        </w:tc>
      </w:tr>
      <w:tr>
        <w:tc>
          <w:tcPr>
            <w:tcW w:type="dxa" w:w="3200"/>
            <w:shd w:fill="F2F2F2" w:val="clear"/>
          </w:tcPr>
          <w:p>
            <w:r>
              <w:rPr>
                <w:b/>
                <w:bCs/>
              </w:rPr>
              <w:t xml:space="preserve">This company's position</w:t>
            </w:r>
          </w:p>
        </w:tc>
        <w:tc>
          <w:tcPr>
            <w:tcW w:type="dxa" w:w="5800"/>
          </w:tcPr>
          <w:p>
            <w:r>
              <w:t xml:space="preserve">CRDMO supplying oligonucleotide building blocks (nucleosides, modified phosphonamidites) for DNA/RNA therapeutics, plus pharmaceutical intermediates and specialty chemicals (polyolefins, organometallic catalysts, semiconductor materials) from a 70-acre Khopoli facility + Pune R&amp;D centre</w:t>
            </w:r>
          </w:p>
        </w:tc>
      </w:tr>
      <w:tr>
        <w:tc>
          <w:tcPr>
            <w:tcW w:type="dxa" w:w="3200"/>
            <w:shd w:fill="F2F2F2" w:val="clear"/>
          </w:tcPr>
          <w:p>
            <w:r>
              <w:rPr>
                <w:b/>
                <w:bCs/>
              </w:rPr>
              <w:t xml:space="preserve">Bottleneck node (pricing power)</w:t>
            </w:r>
          </w:p>
        </w:tc>
        <w:tc>
          <w:tcPr>
            <w:tcW w:type="dxa" w:w="5800"/>
          </w:tcPr>
          <w:p>
            <w:r>
              <w:t xml:space="preserve">Capacity utilisation at the Khopoli facility -- a trusted user (dark_hunter) specifically flagged unconfirmed plant-utilisation levels as the key uncertainty capping near-term revenue growth</w:t>
            </w:r>
          </w:p>
        </w:tc>
      </w:tr>
      <w:tr>
        <w:tc>
          <w:tcPr>
            <w:tcW w:type="dxa" w:w="3200"/>
            <w:shd w:fill="F2F2F2" w:val="clear"/>
          </w:tcPr>
          <w:p>
            <w:r>
              <w:rPr>
                <w:b/>
                <w:bCs/>
              </w:rPr>
              <w:t xml:space="preserve">Supply-side status</w:t>
            </w:r>
          </w:p>
        </w:tc>
        <w:tc>
          <w:tcPr>
            <w:tcW w:type="dxa" w:w="5800"/>
          </w:tcPr>
          <w:p>
            <w:r>
              <w:t xml:space="preserve">unclear</w:t>
            </w:r>
          </w:p>
        </w:tc>
      </w:tr>
      <w:tr>
        <w:tc>
          <w:tcPr>
            <w:tcW w:type="dxa" w:w="3200"/>
            <w:shd w:fill="F2F2F2" w:val="clear"/>
          </w:tcPr>
          <w:p>
            <w:r>
              <w:rPr>
                <w:b/>
                <w:bCs/>
              </w:rPr>
              <w:t xml:space="preserve">Adjacent-node peers</w:t>
            </w:r>
          </w:p>
        </w:tc>
        <w:tc>
          <w:tcPr>
            <w:tcW w:type="dxa" w:w="5800"/>
          </w:tcPr>
          <w:p>
            <w:r>
              <w:t xml:space="preserve">Divi's Laboratories, Neuland Laboratories, Suven Pharma / Cohance Life Sciences, Piramal Pharma Solutions</w:t>
            </w:r>
          </w:p>
        </w:tc>
      </w:tr>
    </w:tbl>
    <w:p>
      <w:pPr>
        <w:spacing w:after="120"/>
      </w:pPr>
      <w:r>
        <w:rPr>
          <w:color w:val="666666"/>
          <w:sz w:val="18"/>
          <w:szCs w:val="18"/>
        </w:rPr>
        <w:t xml:space="preserve">Business substance is a genuine fit for the theme (oligonucleotide + CDMO + specialty chemicals), but a trusted user's Dec-2024 characterisation of the broader CRAMS segment as commodity/scale-driven with real customer concentration means the differentiated, higher-margin oligonucleotide positioning claimed by the company is not yet independently confirmed by the community.</w:t>
      </w:r>
    </w:p>
    <w:p>
      <w:pPr>
        <w:pStyle w:val="Heading1"/>
        <w:spacing w:after="120" w:before="280"/>
      </w:pPr>
      <w:r>
        <w:t xml:space="preserve">Technical Read (Weekly / Monthly MACD + Bollinger Bands, or RSI/CCI/Williams %R proxy)</w:t>
      </w:r>
    </w:p>
    <w:p>
      <w:pPr>
        <w:spacing w:after="120"/>
      </w:pPr>
      <w:r>
        <w:t xml:space="preserve">Not independently escalated -- a recent 21x average-volume spike (Jul-2026) was traced by a forum poster to a block deal / rights-issue-related shareholding adjustment (Chanakya Corporate Services reducing ~1%, promoter increasing ~1%), not a fresh fundamental signal.</w:t>
      </w:r>
    </w:p>
    <w:p>
      <w:pPr>
        <w:pStyle w:val="Heading1"/>
        <w:spacing w:after="120" w:before="280"/>
      </w:pPr>
      <w:r>
        <w:t xml:space="preserve">ValuePickr Community Signal</w:t>
      </w:r>
    </w:p>
    <w:p>
      <w:pPr>
        <w:spacing w:after="120"/>
      </w:pPr>
      <w:r>
        <w:t xml:space="preserve">50-post thread (2024-12-08 to 2026-09-09), first-time read, whole thread in one batch. Genuine substantive debate among several trusted users in Dec-2024 around the merger economics and CDMO sector risk, quieter monitoring-only posts through 2025, and confirmation in Sep-2026 that the reverse merger is now effective.</w:t>
      </w:r>
    </w:p>
    <w:p>
      <w:pPr>
        <w:spacing w:after="120"/>
      </w:pPr>
      <w:r>
        <w:rPr>
          <w:b/>
          <w:bCs/>
          <w:sz w:val="20"/>
          <w:szCs w:val="20"/>
        </w:rPr>
        <w:t xml:space="preserve">High-conviction call from a top contributor: </w:t>
      </w:r>
      <w:r>
        <w:rPr>
          <w:sz w:val="20"/>
          <w:szCs w:val="20"/>
        </w:rPr>
        <w:t xml:space="preserve">dark_hunter (TRUSTED, elevated) gave the most detailed and skeptical read (Dec-2024): flagged the CRAMS/CDMO segment as a commodity-like, scale-driven business with established larger players (e.g. Divi's Labs) exerting pricing pressure, ~50-60% revenue customer concentration, and raw-material/forex volatility; questioned where ~Rs 40-45 Cr of claimed one-time expenses actually went; and concluded 'at this current juncture...the risk and reward is not favourable with lot of uncertainty,' later adding that 'revenue may be stagnated for another few years with current capacity constraint' unless someone could confirm plant utilisation via scuttlebutt -- effectively a 'tracking, not investing' trusted view. Nabendu (TRUSTED, elevated) offered a counter-read: PAT is the wrong lens for a CDMO (should use EV/EBITDA or EV/Sales, then ~1-1.5x looked cheap), argued the Biosecure Act was 'merely a catalyst' for a structural China+1 CDMO shift that continues regardless of the Act's fate, and framed this as a bet on management delivering a 'success event' re-rating -- a thesis, not a stated conviction call. Aloysius_De_Sa (TRUSTED, elevated) and vikasbargale (TRUSTED, elevated, disclosed invested) contributed informational/mechanics posts (shareholding swap ahead of merger; BSE filing updates) without a clear directional call ('will have to wait and watch').</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2025-08-02 — undefined</w:t>
      </w:r>
      <w:r>
        <w:rPr>
          <w:i/>
          <w:iCs/>
          <w:color w:val="666666"/>
          <w:sz w:val="18"/>
          <w:szCs w:val="18"/>
        </w:rPr>
        <w:t xml:space="preserve"/>
      </w:r>
      <w:r>
        <w:rPr>
          <w:sz w:val="20"/>
          <w:szCs w:val="20"/>
        </w:rPr>
        <w:br/>
        <w:t xml:space="preserve">: undefined</w:t>
      </w:r>
    </w:p>
    <w:p>
      <w:pPr>
        <w:spacing w:after="100"/>
      </w:pPr>
      <w:r>
        <w:rPr>
          <w:b/>
          <w:bCs/>
          <w:sz w:val="20"/>
          <w:szCs w:val="20"/>
        </w:rPr>
        <w:t xml:space="preserve">2024-12-10 — undefined</w:t>
      </w:r>
      <w:r>
        <w:rPr>
          <w:i/>
          <w:iCs/>
          <w:color w:val="666666"/>
          <w:sz w:val="18"/>
          <w:szCs w:val="18"/>
        </w:rPr>
        <w:t xml:space="preserve"/>
      </w:r>
      <w:r>
        <w:rPr>
          <w:sz w:val="20"/>
          <w:szCs w:val="20"/>
        </w:rPr>
        <w:br/>
        <w:t xml:space="preserve">: undefined</w:t>
      </w:r>
    </w:p>
    <w:p>
      <w:pPr>
        <w:spacing w:after="100"/>
      </w:pPr>
      <w:r>
        <w:rPr>
          <w:b/>
          <w:bCs/>
          <w:sz w:val="20"/>
          <w:szCs w:val="20"/>
        </w:rPr>
        <w:t xml:space="preserve">2024-12-10 — undefined</w:t>
      </w:r>
      <w:r>
        <w:rPr>
          <w:i/>
          <w:iCs/>
          <w:color w:val="666666"/>
          <w:sz w:val="18"/>
          <w:szCs w:val="18"/>
        </w:rPr>
        <w:t xml:space="preserve"/>
      </w:r>
      <w:r>
        <w:rPr>
          <w:sz w:val="20"/>
          <w:szCs w:val="20"/>
        </w:rPr>
        <w:br/>
        <w:t xml:space="preserve">: undefined</w:t>
      </w:r>
    </w:p>
    <w:p>
      <w:pPr>
        <w:pStyle w:val="Heading1"/>
        <w:spacing w:after="120" w:before="280"/>
      </w:pPr>
      <w:r>
        <w:t xml:space="preserve">BSE Corporate Actions / Other Red Flags</w:t>
      </w:r>
    </w:p>
    <w:p>
      <w:pPr>
        <w:spacing w:after="120"/>
      </w:pPr>
      <w:r>
        <w:t xml:space="preserve">Reverse merger of Innovassynth Technologies into the listed Innovassynth Investments entity is now effective (Sep-2026); pre-merger BSE filings tracked the NOC-to-BSE and NCLT process from Dec-2024. A Jul-2026 volume spike (21x average) was linked by a poster to a rights-renunciation-related shareholding adjustment (Chanakya Corporate Services -1%, promoter +1%), not a fresh corporate action.</w:t>
      </w:r>
    </w:p>
    <w:p>
      <w:pPr>
        <w:pStyle w:val="Heading1"/>
        <w:spacing w:after="120" w:before="280"/>
      </w:pPr>
      <w:r>
        <w:t xml:space="preserve">Bull Case</w:t>
      </w:r>
    </w:p>
    <w:p>
      <w:pPr>
        <w:pStyle w:val="ListParagraph"/>
        <w:numPr>
          <w:ilvl w:val="0"/>
          <w:numId w:val="1"/>
        </w:numPr>
        <w:spacing w:after="60"/>
      </w:pPr>
      <w:r>
        <w:t xml:space="preserve">Now-effective reverse merger consolidates the operating CRDMO business into the listed entity under strong sponsorship (Rajan Raheja Group, legacy Jhunjhunwala-linked RARE/Utpal Sheth stake via Chanakya Corporate Services)</w:t>
      </w:r>
    </w:p>
    <w:p>
      <w:pPr>
        <w:pStyle w:val="ListParagraph"/>
        <w:numPr>
          <w:ilvl w:val="0"/>
          <w:numId w:val="1"/>
        </w:numPr>
        <w:spacing w:after="60"/>
      </w:pPr>
      <w:r>
        <w:t xml:space="preserve">Genuine exposure to a real, priority-1 global tailwind theme (CDMO / oligonucleotide building blocks for DNA/RNA therapeutics, specialty chemicals for polyolefins/organometallic catalysts/semiconductor materials) -- China+1 CDMO shift is structural, independent of the (failed) Biosecure Act</w:t>
      </w:r>
    </w:p>
    <w:p>
      <w:pPr>
        <w:pStyle w:val="ListParagraph"/>
        <w:numPr>
          <w:ilvl w:val="0"/>
          <w:numId w:val="1"/>
        </w:numPr>
        <w:spacing w:after="60"/>
      </w:pPr>
      <w:r>
        <w:t xml:space="preserve">Historical FY21-22 profitability (~10% PAT margin, ~Rs 22 Cr PAT) shows the underlying business can be profitable at scale; a recent quarterly financial-score improvement hints at an early turnaround</w:t>
      </w:r>
    </w:p>
    <w:p>
      <w:pPr>
        <w:pStyle w:val="ListParagraph"/>
        <w:numPr>
          <w:ilvl w:val="0"/>
          <w:numId w:val="1"/>
        </w:numPr>
        <w:spacing w:after="60"/>
      </w:pPr>
      <w:r>
        <w:t xml:space="preserve">Low EV/Sales (~1-1.5x per a trusted user's 2024 read) relative to global CDMO peers, if a success event materialises</w:t>
      </w:r>
    </w:p>
    <w:p>
      <w:pPr>
        <w:pStyle w:val="Heading1"/>
        <w:spacing w:after="120" w:before="280"/>
      </w:pPr>
      <w:r>
        <w:t xml:space="preserve">Bear Case / Key Risks</w:t>
      </w:r>
    </w:p>
    <w:p>
      <w:pPr>
        <w:pStyle w:val="ListParagraph"/>
        <w:numPr>
          <w:ilvl w:val="0"/>
          <w:numId w:val="1"/>
        </w:numPr>
        <w:spacing w:after="60"/>
      </w:pPr>
      <w:r>
        <w:t xml:space="preserve">Deeply negative ROCE (~-83%) and ROE (~-65%) on the most recent reported figures -- the turnaround is not yet visible in the numbers</w:t>
      </w:r>
    </w:p>
    <w:p>
      <w:pPr>
        <w:pStyle w:val="ListParagraph"/>
        <w:numPr>
          <w:ilvl w:val="0"/>
          <w:numId w:val="1"/>
        </w:numPr>
        <w:spacing w:after="60"/>
      </w:pPr>
      <w:r>
        <w:t xml:space="preserve">A trusted user's detailed, unrebutted-in-substance read: commodity-like CRAMS competitive dynamics, ~50-60% single-customer concentration, and an unexplained ~Rs 40-45 Cr of one-time expenses</w:t>
      </w:r>
    </w:p>
    <w:p>
      <w:pPr>
        <w:pStyle w:val="ListParagraph"/>
        <w:numPr>
          <w:ilvl w:val="0"/>
          <w:numId w:val="1"/>
        </w:numPr>
        <w:spacing w:after="60"/>
      </w:pPr>
      <w:r>
        <w:t xml:space="preserve">Capacity constraints flagged by the same trusted user as a multi-year revenue-stagnation risk absent confirmed new capacity</w:t>
      </w:r>
    </w:p>
    <w:p>
      <w:pPr>
        <w:pStyle w:val="ListParagraph"/>
        <w:numPr>
          <w:ilvl w:val="0"/>
          <w:numId w:val="1"/>
        </w:numPr>
        <w:spacing w:after="60"/>
      </w:pPr>
      <w:r>
        <w:t xml:space="preserve">Stock has already re-rated +307% over 3 years and +108% in 6 months well ahead of any confirmed profitability -- priced for a turnaround that has not yet shown up in reported ROCE/ROE</w:t>
      </w:r>
    </w:p>
    <w:p>
      <w:pPr>
        <w:pStyle w:val="ListParagraph"/>
        <w:numPr>
          <w:ilvl w:val="0"/>
          <w:numId w:val="1"/>
        </w:numPr>
        <w:spacing w:after="60"/>
      </w:pPr>
      <w:r>
        <w:t xml:space="preserve">No dated, delivered financial evidence yet under the newly-effective merged entity -- everything bull-case here is thesis, not results</w:t>
      </w:r>
    </w:p>
    <w:p>
      <w:pPr>
        <w:pStyle w:val="Heading1"/>
        <w:spacing w:after="120" w:before="280"/>
      </w:pPr>
      <w:r>
        <w:t xml:space="preserve">Market-Cap Tier (informational — not a gate in this project)</w:t>
      </w:r>
    </w:p>
    <w:p>
      <w:pPr>
        <w:spacing w:after="120"/>
      </w:pPr>
      <w:r>
        <w:rPr>
          <w:b/>
          <w:bCs/>
        </w:rPr>
        <w:t xml:space="preserve">Small-cap (~Rs 1,274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yes · moat: weak · valuation: weak  (score 2.5 / 4)</w:t>
      </w:r>
    </w:p>
    <w:p>
      <w:pPr>
        <w:spacing w:after="120"/>
      </w:pPr>
      <w:r>
        <w:rPr>
          <w:i/>
          <w:iCs/>
          <w:color w:val="666666"/>
          <w:sz w:val="20"/>
          <w:szCs w:val="20"/>
        </w:rPr>
        <w:t xml:space="preserve">tailwind=weak (real China+1/CDMO structural shift, but a trusted user called the Biosecure Act a non-event and flagged capacity constraints capping near-term growth). tam=yes (oligonucleotide building blocks + specialty chemicals + pharma intermediates CRDMO is a large, genuinely growing global market). moat=weak (a trusted user described CRAMS as commodity/scale-driven with ~50-60% single-customer concentration; the oligonucleotide niche may differentiate but is unconfirmed). valuation=weak (ROCE/ROE deeply negative despite a trusted user's low-EV/Sales framing -- contested). Score 2.5 -&gt; neither absent a written exception; none apply (valuation not yes, no current growth, not a large-cap).</w:t>
      </w:r>
    </w:p>
    <w:p>
      <w:pPr>
        <w:pStyle w:val="Heading1"/>
        <w:spacing w:after="120" w:before="280"/>
      </w:pPr>
      <w:r>
        <w:t xml:space="preserve">Verdict</w:t>
      </w:r>
    </w:p>
    <w:p>
      <w:pPr>
        <w:spacing w:after="120"/>
      </w:pPr>
      <w:r>
        <w:rPr>
          <w:b/>
          <w:bCs/>
          <w:sz w:val="24"/>
          <w:szCs w:val="24"/>
        </w:rPr>
        <w:t xml:space="preserve">Genuine CDMO/oligonucleotide tailwind exposure with strong sponsorship and a now-effective merger, but deeply negative returns, real customer concentration, and a trusted tracker's unresolved 'risk-reward unfavourable' read keep this at neither / Low pending actual post-merger results</w:t>
      </w:r>
    </w:p>
    <w:p>
      <w:pPr>
        <w:pStyle w:val="ListParagraph"/>
        <w:numPr>
          <w:ilvl w:val="0"/>
          <w:numId w:val="1"/>
        </w:numPr>
        <w:spacing w:after="60"/>
      </w:pPr>
      <w:r>
        <w:t xml:space="preserve">Deep-read makes the value-chain position clear (oligonucleotide building blocks + pharmaceutical intermediates + specialty chemicals CRDMO) -- matches the priority-1 'CDMO / specialty &amp; aroma chemicals' active theme by business substance even though the thread title/slug do not literally contain the theme keywords; value_chain block added on that basis.</w:t>
      </w:r>
    </w:p>
    <w:p>
      <w:pPr>
        <w:pStyle w:val="ListParagraph"/>
        <w:numPr>
          <w:ilvl w:val="0"/>
          <w:numId w:val="1"/>
        </w:numPr>
        <w:spacing w:after="60"/>
      </w:pPr>
      <w:r>
        <w:t xml:space="preserve">four_box: tailwind=weak (real China+1/CDMO structural shift, but contested in-thread by a trusted user's Biosecure-Act-was-a-non-event read and the company's own capacity constraints), tam=yes (oligonucleotide/CDMO is a large, growing global market and this company's verticals sit squarely in it), moat=weak (a trusted user characterised the CRAMS segment as commodity/scale-driven with real customer concentration -- the oligonucleotide niche may be more differentiated but this is unconfirmed), valuation=weak (deeply negative ROCE/ROE despite a low EV/Sales framing offered by a trusted user -- contested, not clearly cheap on a profits basis). Score = 2.5.</w:t>
      </w:r>
    </w:p>
    <w:p>
      <w:pPr>
        <w:pStyle w:val="ListParagraph"/>
        <w:numPr>
          <w:ilvl w:val="0"/>
          <w:numId w:val="1"/>
        </w:numPr>
        <w:spacing w:after="60"/>
      </w:pPr>
      <w:r>
        <w:t xml:space="preserve">Score 2.0-2.5 requires a written exception (valuation=yes, un-ignorable growth, or large-cap inflection) to permit a return-magnitude label -- none apply here (valuation is weak not yes, there is no growth currently, and this is not a large-cap). thesis_fit set to 'neither' per the decision table.</w:t>
      </w:r>
    </w:p>
    <w:p>
      <w:pPr>
        <w:pStyle w:val="ListParagraph"/>
        <w:numPr>
          <w:ilvl w:val="0"/>
          <w:numId w:val="1"/>
        </w:numPr>
        <w:spacing w:after="60"/>
      </w:pPr>
      <w:r>
        <w:t xml:space="preserve">Conviction Low: real thematic exposure and strong sponsorship are offset by deeply negative current-period returns, unresolved customer-concentration and capacity-constraint concerns from a trusted tracker, and a stock price that has already run well ahead of any confirmed fundamental turnaround. Revisit once the newly-merged entity reports its first full quarter of consolidated results.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2026-09-11T16:13:52.400Z</dcterms:created>
  <dcterms:modified xsi:type="dcterms:W3CDTF">2026-09-11T16:13:52.405Z</dcterms:modified>
</cp:coreProperties>
</file>

<file path=docProps/custom.xml><?xml version="1.0" encoding="utf-8"?>
<Properties xmlns="http://schemas.openxmlformats.org/officeDocument/2006/custom-properties" xmlns:vt="http://schemas.openxmlformats.org/officeDocument/2006/docPropsVTypes"/>
</file>