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KPI Green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Renewable-energy IPP/EPC near a 52-week low on margin pressure, sitting on a large land bank and 7 GW order book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KPI Green Energy develops and operates renewable energy (solar/wind) projects, both as an independent power producer and EPC contractor, with an installed capacity of 2.5 GW and stated plans to scale beyond 10 GW by 2030.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6,344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1.71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 target</w:t>
            </w:r>
          </w:p>
        </w:tc>
        <w:tc>
          <w:tcPr>
            <w:tcW w:type="dxa" w:w="5800"/>
          </w:tcPr>
          <w:p>
            <w:r>
              <w:t xml:space="preserve">40-50% revenue CAGR through FY30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335.6 - 562.6 (near the low, down ~40% from peak)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ROE (17.4%) and an aggressive but management-stated growth target (40-50% CAGR to FY30), offset by meaningful leverage (D/E 1.71, typical for a capital-intensive IPP model) and a stock that has corrected ~40% from its peak on margin pressure.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292 · 12.6x P/E · 8x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~13x trailing earnings after a ~40% correction from the peak; against a ~14-16x exit this needs only ~15-20% EPS CAGR, which the 7 GW order book and 40-50% revenue CAGR target would clear easily if margins and leverage hold -- the low multiple prices in the margin-pressure and D/E-1.71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+35-50% on the order book / land bank; OPM ~32-36%; PAT growth slower than revenue on higher interest as the IPP book scales; FCF remains deeply negative on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continued high revenue growth if execution timing normalises; the swing factor is whether margin pressure is temporary (execution timing) or structural (competitive solar-IPP tariffs)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~13x multiple on a 40-50%-growth renewable IPP looks cheap, but ROCE has fallen to ~14%, D/E is 1.71 against currently-pressured margins, FCF is heavily negative on capex, and the community's temporary-vs-structural margin question is unresolved -- the low multiple is compensation for those risks, not a clean mispricing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13.8%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5.4x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-290%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7 years (consistency_score 71)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consolidated (FY20-FY26): FY20-FY24 all cleared both bars (revenue +59-180% / ROCE 16-25%); FY25-FY26 ROCE slipped to ~14% on rising leverage (D/E 1.71) and margin pressure even as revenue kept growing 55-69%. Capital-intensive IPP model with deeply negative free cash flow.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317 posts (single batch, no escalation). Only 2 posts in the fetched window are from the current period (Aug 2026), both raising the same open question: is the recent margin pressure temporary or structural.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Ravi_Narsingani (Aug 2026) asked directly whether the margin pressure in the KP group's latest results is a one-off or a continuing trend -- unanswered at time of read. Paulbiplab (Aug 2026) noted the stock is near its 52-week low, down ~40% from peak, but argued execution timing (not fundamentals) explains the decline, pointing to the large land bank and 7 GW order book as still-intact underlying value, and asked the community if anything else is being missed.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 GW order book and a large land bank provide substantial multi-year growth visibility if execution timing normalizes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17.4% ROE and an explicit 40-50% revenue CAGR target through FY30 are attractive if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corrected ~40% from its peak -- some bad news may already be priced 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Open, unresolved community question about whether recent margin pressure is temporary or structural -- no clear answer from management yet per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of 1.71 is meaningful leverage for a business whose margins are currently under visible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near a 52-week low with the community itself uncertain whether this is a buying opportunity or an early warning sign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6,344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7GW order book + management's 40-50% CAGR-to-FY30 target on a large land bank is a real renewable-IPP tailwind and tam; no distinct moat described for a commodity solar-IPP model — weak; stock near 52-wk low after a ~40% correction with an unresolved community question on whether margin pressure is temporary or structural — valuation weak. D/E 1.71 is meaningful leverage against currently-pressured margins.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 order book intact, but unresolved margin-pressure questions and real leverage keep this speculative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7 GW order book and aggressive stated growth target keep this in the 10x-in-2-3-years bucket, and the ~40% correction means downside may be partially priced in already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this is a live, unresolved community question (temporary vs. structural margin pressure) rather than a confirmed inflection, and the leverage level adds real execution risk if margins stay compressed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low-medium pending clarity on the margin trend in the next 1-2 quarters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2026-09-09T18:20:29.657Z</dcterms:created>
  <dcterms:modified xsi:type="dcterms:W3CDTF">2026-09-09T18:20:29.657Z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