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Kaynes Technology India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Premium EMS/OSAT-semiconductor growth story, but a Kotak accounting red-flag report, CEO resignation, and a falling promoter stake warrant real caution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Dec 2025 Kotak Securities report flagged specific accounting-quality concerns (goodwill/intangible treatment on the Iskraemeco acquisition, contingent liabilities at 18% of net worth, related-party disclosure inconsistencies, negative operating cash flow) around the same time the CEO resigned (Sept 2025) and promoter holding fell from ~63% to ~53% over recent quarters — a cluster of governance/transparency signals, not a single isolated concern.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Kaynes Technology is a premium electronics manufacturing services (EMS) company expanding aggressively into OSAT (semiconductor packaging/testing at its Sanand facility) and PCB manufacturing (Chennai, targeting up to 74-layer boards). It serves automotive, industrial, medical, defence, and telecom customers and is pursuing multiple JV discussions for wafer fabrication and compound semiconductors under India's ISM 2.0 programme.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26,095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9.64% / 13.2% (weak for the valuation)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revenue CAGR</w:t>
            </w:r>
          </w:p>
        </w:tc>
        <w:tc>
          <w:tcPr>
            <w:tcW w:type="dxa" w:w="5800"/>
          </w:tcPr>
          <w:p>
            <w:r>
              <w:t xml:space="preserve">54.87% (very 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2,995 - 7,705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5.49x book value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has been exceptional (54.87% 5-yr CAGR, guiding 30%+ for FY27), but ROE/ROCE are weak relative to the rich valuation (5.49x book), and debtor days are high (154 days). A Dec 2025 Kotak Securities report specifically flagged accounting-quality concerns: goodwill/intangible treatment around the Iskraemeco acquisition, a mismatch between reported subsidiary profit contribution and P&amp;L, inconsistent related-party disclosures, negative operating cash flow, and contingent liabilities of Rs 520 Cr (18% of net worth).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stock has corrected over 40% from its 2025 peak as of mid-2026, per community commentary.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tone shifted sharply in Sept-Dec 2025: CEO Ramesh Kunhambu resigned (Sept 2025) with an interview community members found 'unconvincing'; a Kotak Securities report (Dec 2025) triggered a detailed multi-post accounting-red-flag debate (goodwill amortization treatment, contingent liabilities, related-party disclosure errors); promoter holding has fallen from ~63% to ~53% over recent quarters, cited by one poster without a clear management explanation. By mid-2026 sentiment partially recovered on strong OSAT/semicon order momentum and a possible large EV-manufacturer PCB deal, but the accounting overhang has not been fully resolved in the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community members (cdas3317, AJ41, kautuk) did detailed, technical breakdowns of the Kotak report; consensus leaned toward 'aggressive but not fraudulent' accounting, with a call for the company to strengthen its audit committee and reporting quality going forward.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2026-06-20 — Cshar</w:t>
      </w:r>
      <w:r>
        <w:rPr>
          <w:i/>
          <w:iCs/>
          <w:color w:val="666666"/>
          <w:sz w:val="18"/>
          <w:szCs w:val="18"/>
        </w:rPr>
        <w:t xml:space="preserve"> (Midhun's Investment journey, post #79 (elevated tier))</w:t>
      </w:r>
      <w:r>
        <w:rPr>
          <w:sz w:val="20"/>
          <w:szCs w:val="20"/>
        </w:rPr>
        <w:br/>
        <w:t xml:space="preserve">: "always liked Kaynas Tech seeing its moat and core to Electronics manufacturing only valuations were concern, loaded up 10% of PF when it dropped to 3100 levels ... will hold both [Kaynes+Cohance] for next 4-5 years at least." Independent trusted-user conviction; distinct from Midhunjoe who EXITED Kaynes by Sep 2026. elevated-tier -&gt; no floor.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"Kaynes Technologies a shining example of big wealth creation... Disclose Invested in ipo &amp; since long" (post #1199) — a strong, long-standing conviction call, though it predates the Sept-Dec 2025 accounting controversy that emerged after this project's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 (as distinct from Man Industries, where SEBI has issued an actual order — this is a broker research-report red flag, not a regulatory finding). Promoter stake decline from ~63% to ~53% over recent quarters is a genuine, not-yet-fully-explained caution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54.87% 5-year revenue CAGR and a genuine, differentiated position in India's OSAT/semiconductor-packaging build-out (Sanand facility, PCB plant in Chennai)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Standalone business reportedly generated Rs 120+ Cr of free cash flow in FY26 despite consolidated cash-flow concerns at the smart-metering subsidiary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JV discussions in progress (wafer fab, compound semiconductors, Micro-LED) that could be significant option value if any convert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Vivek_6954, a trusted community voice, has held it since IPO with strong conviction (though before the accounting controversy)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Kotak's Dec 2025 report raised specific, technical accounting-quality concerns (goodwill/intangible treatment, contingent liabilities, related-party disclosure gaps, negative operating cash flow) that the community itself treated seriously enough to debate in depth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resignation (Sept 2025) with an interview the community found unconvincing adds to governance uncertainty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falling from ~63% to ~53% over recent quarters is exactly the kind of signal this project's HIGH CAUTION tier exists to catch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Receivables from the smart-metering subsidiary remain a live cash-flow drag as of the Q1 FY27 concall (only Rs 88 Cr of Rs 212 Cr collected)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Mid-large cap (~Rs 26,095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— the underlying growth story could otherwise support a 10x-in-2-3-years case, but the combination of accounting red flags, a falling promoter stake, and a rich valuation on weak ROE means this project cannot responsibly extrapolate the growth trend with confidence right now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EMS/semiconductor growth story clouded by a real, still-unresolved accounting and governance overhang — HIGH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mention (Vivek_6954, 'high' not 'very-high' strength) predates the Sept-Dec 2025 accounting controversy and CEO resignation, so it does not carry a conviction floor into this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credible broker (Kotak) accounting-red-flag report combined with a falling promoter stake (~63%→~53%) is exactly the pattern this project's HIGH CAUTION tier is designed to flag, regardless of the genuine growth story underneath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Low given the caution, even though the OSAT/semiconductor opportunity itself is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flagged for 30-day revisit given the HIGH CAUTION red flag tier — this should be tracked for resolution (audit committee response, next 1-2 quarters of clean disclosure) rather than revisited on a fixed timer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2026-09-10T15:47:14.556Z</dcterms:created>
  <dcterms:modified xsi:type="dcterms:W3CDTF">2026-09-10T15:47:14.557Z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