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Kiri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Dyes/chemicals turnaround story on debt reduction and demand surge, but weak historical returns and an unresolved promoter-credibility concern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Kiri Industries is a dyes and dye-intermediates chemicals manufacturer, with the current forum thesis centered on a debt-reduction turnaround plus a demand surge in its core products.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2,821-2,826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2.75% (3-yr avg), 4.9% most recent — weak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+13.5%, but 5-yr sales growth -2.58% (poor)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Reduced, now near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262.1 - 453.9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Other</w:t>
            </w:r>
          </w:p>
        </w:tc>
        <w:tc>
          <w:tcPr>
            <w:tcW w:type="dxa" w:w="5800"/>
          </w:tcPr>
          <w:p>
            <w:r>
              <w:t xml:space="preserve">Debtor days improved 62.2 -&gt; 45.2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Weak historical quality — ROE of only 2.75-4.9% and negative 5-year sales growth (-2.58%) — but the current-year picture looks like an inflection: FY26 revenue +13.5%, debt materially reduced, and working capital (debtor days) improving. This reads as an early-stage turnaround rather than an already-proven quality compounder.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551 · 4.47x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~0.5x book prices the market's disbelief that the core dyes/intermediates business can earn an adequate return; the ~4.5x P/E is optically cheap only because FY26 earnings include a large one-off DyStar/Senda arbitration gain (~Rs 6,000 Cr other income) -- on operations the business is loss-making (ROCE ~ -2%)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operating revenue +10-15% on the cited demand recovery; operating margins still thin; the swing factor is whether the arbitration cash is deployed into a genuine capacity/turnaround or leaks away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unquantified -- depends entirely on execution of the debt-funded turnaround, for which financial closure was not yet achieved as of the latest VP thread post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0.5x book looks like deep value and the balance sheet is now cash-rich post-arbitration, but the operating business still has negative ROCE, negative 5-yr sales CAGR, and a community-flagged promoter over-promising pattern on the pending turnaround funding -- the discount is warranted until operations inflect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-2%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-100%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value-destructive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11 years (consistency_score 9)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consolidated (FY16-FY26): only FY22 (+56% revenue / ROCE 16%) cleared both bars. A highly cyclical dyes/intermediates maker with negative 5-yr sales CAGR; ROCE was 5-13% in most years, and FY26 reported profit is a DyStar/Senda arbitration windfall (~Rs 6,000 Cr other income), not operations -- operational ROCE FY26 was ~ -2%.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well off its 52-week high (Rs 453.9 vs current implied by mcap range, low Rs 262.1) — wide range suggests significant volatility tied to turnaround news flow.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(329 replies, last activity 2026-08-14) with the most recent post raising a specific, unresolved governance/credibility concern rather than pure optimism.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Sanket_Patole (2026-08-14 post, 2 loves) flagged that financial closure (debt funding) for the turnaround has not yet been achieved, and that promoters have a pattern of over-promising and missing deadlines without disclosing true timelines to minority shareholders — while acknowledging they've eventually delivered before, asked whether this is still a red flag given how much rides on securing this funding. posts_seen=1.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(e.g. SEBI action) surfaced, but see community-flagged promoter-credibility concern above.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Clear turnaround inflection: FY26 revenue growth +13.5% after 5 years of decline, debt reduction, improving debtor days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Demand surge in core dye/chemicals products cited as the near-term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current valuation relative to history if the turnaround sticks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ROE (2.75-4.9%) is weak — this has not been a quality compounder, it's a bet on a turnaround actually completing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Financial closure for the debt funding underpinning the turnaround has not yet been achieved as of the latest post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specifically flags a pattern of promoter over-promising and non-transparent timelines — a credibility risk directly relevant to whether the turnaround thesis plays out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Small-mid-cap (~Rs 2,821-2,826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 is the only way this fits — purely as a speculative turnaround bet, not on demonstrated quality; weak historical ROE and an open promoter-credibility question mean this needs the debt funding and delivery to actually materialize first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weak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Demand surge in dye/chemicals is a real but unconfirmed near-term catalyst on top of 5yrs of sales decline — tailwind weak; FY26 revenue +13.5% turn is an early-stage inflection, financial closure for the underpinning debt funding not yet achieved — tam weak; no distinct moat described; community flags a pattern of promoter over-promising — valuation weak given no market_expectation data and unresolved credibility risk.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Speculative turnaround, not a quality-gate pass yet — watch for financial closure news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historical ROE and negative 5-yr sales growth mean this fails the quality bar on trailing numbers alone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inflection (revenue +13.5%, debt reduction) is real but unproven as a multi-year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specific, reasoned community concern about promoter deadline credibility on the pending debt funding is a genuine near-term risk, not a dismissible nitpick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2026-09-09T18:20:29.585Z</dcterms:created>
  <dcterms:modified xsi:type="dcterms:W3CDTF">2026-09-09T18:20:29.585Z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