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Maharashtra Seamless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Cyclical seamless-pipe leader with a genuine Q1 FY27 order-book acceleration and heavy promoter buying — but a live board-approved demerger tied to a family dispute is a real, unresolved special situation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Maharashtra Seamless (MSL) is India's leading seamless-pipe manufacturer, serving oil &amp; gas (ONGC, Oil India) and infrastructure end-markets, competing against Chinese imports and forward-integrated steel majors (JSW, Tata).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8,173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15.01% CAGR vs industry median 8.54%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500 - 690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~11.0, Book Value Rs 513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Decent, above-industry revenue growth with a debt-free balance sheet, but the company also sits on a large (Rs 2,900+ Cr) cash pile with vaguely-explained deployment plans and under-executed capex — a real capital-allocation question flagged directly by the community.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676 · 12.3x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~12x TTM on trough earnings for a net-cash cyclical implies roughly flat EPS - the market is not pricing the Q1 FY27 order-book acceleration or the heavy promoter buying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recovery off the FY26 trough as the order book converts; margin rebuilding from 14% toward high-teens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on capacity plus acquisitions; the board-approved demerger tied to a family dispute is an unresolved special situation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12x trough multiple on a debt-free balance sheet does not credit the Q1 FY27 order-book acceleration or promoter buying; the demerger overhang is the offsetting caveat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22%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the years with both metrics verifiable in the captured table (FY24-26), none cleared: revenue fell -5.5%, -2.5% and -11.3% despite ROCE of 23%, 17% and 14%. The earlier up-cycle (FY22-23 revenue +36-83%) pre-dates the ROCE data captured here - a cyclical, not a consistent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62 posts (2018-2026, single batch — the thread's most recent post is from just last week, 2026-08-23, so no further escalation was needed to reach current sentiment). This is an active, currently-eventful thread: sustained promoter buying through 2025, a June 2026 board-approved demerger tied to a reported family dispute, and a fresh, concrete Q1 FY27 order-book update just six days before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Multiple trusted users (Nikunj_Todi, ripzc09) tracked sustained promoter open-market buying through Feb-Nov 2025, and ripzc09 separately noted (April 2025) both FII and DII simultaneously increased their stakes — a genuinely rare combination the poster called out explicitly. The most significant recent development: in June 2026, the board approved a strategic demerger of manufacturing units, which a non-trusted but engaged poster (mak2569) linked to a 'long dispute between brothers,' bluntly warning 'minority shareholders are never a priority' in this kind of promoter-family restructuring. Most recently (Aug 18, 2026, 6 days before this pass), a non-trusted poster (Soham_Kunkulol) shared Q1 FY27 concall details showing the order book up 31% QoQ to Rs 1,709 Cr, with a genuine, management-flagged first-time shift toward higher-margin mix (42% from ONGC/Oil India, 20% export to US/Canada). Separately, Nishant_Ramakrishnan (Aug 2025) raised a capital-allocation concern: only ~Rs 150 Cr of a previously announced Rs 852 Cr capex plan had been executed, while the company maintains Rs 2,900+ Cr in cash for 'vague and long-term' stated reasons.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2025-04-13 — ripzc09</w:t>
      </w:r>
      <w:r>
        <w:rPr>
          <w:i/>
          <w:iCs/>
          <w:color w:val="666666"/>
          <w:sz w:val="18"/>
          <w:szCs w:val="18"/>
        </w:rPr>
        <w:t xml:space="preserve"> (Maharashtra Seamless - own VP thread)</w:t>
      </w:r>
      <w:r>
        <w:rPr>
          <w:sz w:val="20"/>
          <w:szCs w:val="20"/>
        </w:rPr>
        <w:br/>
        <w:t xml:space="preserve">: Noted March 2025 shareholding data showed both FII and DII simultaneously increasing their stakes — called out as unusually rare across the broader market.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June 2026: Board approved a strategic demerger of manufacturing units, reported by community members to be connected to a family/promoter dispute. Historical (2019) community concern about a foreign-investment impairment seen by some as short-changing minority shareholders — old, not confirmed as recurring.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Above-industry revenue growth (15% CAGR vs 8.5% industry median), debt-free balance sheet, reasonable valuation (~11x P/E)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Sustained, multi-quarter promoter open-market buying through 2025, with a rare simultaneous FII+DII stake increase noted by a trusted user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genuine, dated (Aug 2026) Q1 FY27 order-book acceleration: +31% QoQ to Rs 1,709 Cr, with management flagging a first-time shift to higher-margin ONGC/Oil India and export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large government infrastructure/E&amp;P budget allocation (Rs 57,612 Cr for Exploration &amp; Production in Budget 2026) is a genuine sector tailwind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June 2026 board-approved demerger, reportedly tied to a family/promoter dispute, is a live, unresolved special situation — a community member bluntly warned minority shareholders 'are never a priority' in this kind of restructuring, and the outcome (value-unlocking vs. value-destructive) is genuinely uncertain as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Capital-allocation concern: a large Rs 2,900+ Cr cash pile sits largely undeployed against a previously announced Rs 852 Cr capex plan, only ~18% executed, with management citing only vague long-term reasons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business faces real structural competition from forward-integrated steel majors (JSW, Tata) and Chinese dumping, with anti-dumping duty protection due to lapse around 2026 per an earlier community discussion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 CFO changes in under 3 years was flagged by a community member (2024) as unusual, without a clear resolution in the thread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8,173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no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Government E&amp;P budget allocation (Rs57,612cr) is a real sector tailwind; Q1 FY27 order book +31% QoQ to Rs1,709cr with a shift to higher-margin ONGC/Oil India/export mix supports tam; faces structural competition from forward-integrated steel majors (JSW, Tata) and Chinese dumping with anti-dumping protection lapsing ~2026 — no distinct moat; ~11x P/E called 'reasonable valuation' — yes. A June-2026 board-approved demerger tied to a reported family/promoter dispute is a live, unresolved special situation, separate from this score.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near-term order-book inflection and heavy promoter buying, clouded by a live, unresolved family-dispute demerger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order-book acceleration (+31% QoQ, higher-margin mix) and sustained promoter/institutional buying are real, current positive signals, not stale history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June 2026 board-approved demerger tied to a reported family dispute is a genuine, live special situation whose minority-shareholder impact is explicitly uncertain per the community's own skeptical read — this is a real reason for caution, not a settled positive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a ~Rs 8,173 Cr mid-cap size with a cyclical, import-competition-exposed business, this doesn't clear the bar for a 10x-in-2-3-years call today, but is worth a focused revisit once the demerger structure and terms are clarified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2026-09-09T18:14:45.696Z</dcterms:created>
  <dcterms:modified xsi:type="dcterms:W3CDTF">2026-09-09T18:14:45.696Z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