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Millworks Technologies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A four-year-old, freshly-listed SME precision-machining shop with eye-watering ratios (81% ROCE) selling mission-critical components into defence, railways, aerospace and semiconductor - a genuine tailwind, but a tiny base, a ~55x multiple and 340 debtor-days keep the 10x call unconfirmed.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Incorporated November 2021; SME IPO listed July 2026. Designs and manufactures high-precision machined components, sheet-metal parts and integrated assemblies for mission-critical applications across Defence, Railways, Aerospace and Semiconductor equipment. FY26: revenue Rs 148.77 Cr, PAT Rs 37.06 Cr. Seeded as an external lead from X triage (@BeatTheStreet10, untrusted) which ran a bullish business deep-dive framing it as a precision engineer for missiles/drones/semiconductors.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2,020 Cr (SME / micro-cap)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Current price / 52-wk range</w:t>
            </w:r>
          </w:p>
        </w:tc>
        <w:tc>
          <w:tcPr>
            <w:tcW w:type="dxa" w:w="5800"/>
          </w:tcPr>
          <w:p>
            <w:r>
              <w:t xml:space="preserve">~Rs 1,147 / Rs 1,234 - Rs 629 (listed Jul-2026)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~81% ROCE / ~70% ROE (FY26, tiny-base ratios)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/ PAT (FY26)</w:t>
            </w:r>
          </w:p>
        </w:tc>
        <w:tc>
          <w:tcPr>
            <w:tcW w:type="dxa" w:w="5800"/>
          </w:tcPr>
          <w:p>
            <w:r>
              <w:t xml:space="preserve">Rs 148.77 Cr / Rs 37.06 Cr (~25% PAT margin)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Low; pre-IPO working-capital borrowings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Working capital</w:t>
            </w:r>
          </w:p>
        </w:tc>
        <w:tc>
          <w:tcPr>
            <w:tcW w:type="dxa" w:w="5800"/>
          </w:tcPr>
          <w:p>
            <w:r>
              <w:t xml:space="preserve">Debtor days ~340 - a material quality concern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On the reported numbers Millworks looks exceptional - ~25% net margin, 80%+ ROCE, revenue and profit scaling fast into four of the hottest end-markets in Indian manufacturing (defence, aerospace, railways, semiconductor equipment). But the entire operating history is ~4 years, the company listed only in July 2026, and receivables of ~340 days are extraordinary for a components maker and cast doubt on earnings quality / cash conversion. The ~55x trailing P/E and ~13x sales already capitalise a long runway. This is a plausible multi-year compounder IF the order book, margins and cash collection hold through scale - none of which is yet demonstrated in public filings.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Defence / aerospace manufacturing bottlenecks + semiconductor-equipment localisation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Tier-2/3 precision-machined components, sheet-metal and integrated assemblies into defence, railways, aerospace and semiconductor-equipment OEMs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Qualified precision-machining and assembly capacity for mission-critical, low-volume high-mix parts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MTAR Technologies, Azad Engineering, Dynamic Cables (unrelated), Sansera Engineering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Real bottleneck exposure on paper, but Millworks is a very small, very new entrant; whether it holds approved-vendor share and pricing as it scales is the open question.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Recently listed SME; traded between ~Rs 629 and ~Rs 1,234 since listing, currently mid-band. No weekly/monthly structure worth reading yet.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ValuePickr thread exists (topic_slug null). Assessment is web/filings-based. The only external signal is an untrusted-X business deep-dive (@BeatTheStreet10) - directional interest, not a vetted conviction call.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trusted-user activity. External lead only: @BeatTheStreet10 (untrusted X triage) published a bullish deep-dive positioning Millworks as a precision supplier to missiles/drones/semiconductor equipment.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 / fraud action found. Statutory auditor Vishnu Daya &amp; Co LLP; no resignation on record. Recent SME listing - limited disclosure history; 340-day debtor position and related cash-flow quality are the items to verify against the next annual report / concall.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~81% ROCE, ~25% PAT margin, revenue and profit scaling fast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 structural tailwinds at once: defence indigenisation, aerospace, railway capex, semiconductor-equipment localisation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Mission-critical, qualification-gated components carry switching costs once designed 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Asset-light-ish precision machining with pricing power on approved parts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Only ~4 years of operating history; listed Jul-2026 - almost no public track record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Debtor days ~340 - severe working-capital stretch; earnings-quality / cash-conversion risk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~55x trailing earnings, ~13x sales already price a long growth runway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Micro-cap SME liquidity; single source is an untrusted X account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Customer / order-book concentration unknown from public filings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SME / micro-cap (~Rs 2,020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weak · valuation: no  (score 2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valuation = no (~55x earnings / ~13x sales on a 4-yr-old SME). tam weak (Rs 149 Cr-revenue niche fabricator, huge share gain needed for 10x), moat weak (qualification-gated parts sticky but durability unproven). Return-magnitude label retained via un-ignorable-growth carve-out; conviction capped at Medium (set Low-Medium) and marked unconfirmed.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Genuine tailwind and standout ratios, but a 4-year-old freshly-listed SME with 340 debtor-days and a ~55x multiple - thesis_fit 10x-in-2-3-years on the un-ignorable-growth carve-out, conviction Low-Medium, explicitly unconfirmed.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four_box: tailwind yes (defence/aerospace/railway/semiconductor-equipment demand, all structurally accelerating), tam weak (mission-critical precision components is a real market but a Rs 149 Cr-revenue niche fabricator needs enormous share gain for 10x), moat weak (qualification-gated parts are sticky, but 4 years of history - durability unproven), valuation no (~55x earnings / ~13x sales on a new SME) -&gt; score 2.0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Score 2.0-2.5 with valuation box = no: return-magnitude label allowed only on phreak's un-ignorable-growth carve-out - invoked here (revenue + PAT scaling fast, 80%+ ROCE). Label 10x-in-2-3-years, conviction CAPPED and set to Low-Medium, marked unconfirmed.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Low-Medium (not higher): ~340 debtor-days is a real earnings-quality flag, the source is an untrusted X account, and there is essentially no public operating history to lean on. Needs one-two clean quarters of cash conversion + an order-book disclosure before any upgrade.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Theme match: defence/aerospace manufacturing bottlenecks (priority 1) + semiconductor capex (priority 1) - value_chain block seeded from those themes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red-flag tier (solvent, profitable, no SEBI action); 340 debtor-days noted as a concern, not a HIGH CAUTION trigger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2026-09-10T14:25:20.658Z</dcterms:created>
  <dcterms:modified xsi:type="dcterms:W3CDTF">2026-09-10T14:25:20.663Z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