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Monolithisch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Largest domestic maker of quartz/silica ramming mass -- a mission-critical but explicitly commoditised, freight-limited consumable for induction-furnace steel mills -- with outstanding returns (ROCE ~33%, ROE ~35%), a debt-free balance sheet and a ~3.5x capacity expansion underway, but priced at ~35x for a regional commodity SME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Monolithisch India (NSE SME, IPO Dec 2025, ~Rs 82 Cr raised for growth capital) makes pre-mixed quartz/silica-based ramming mass -- a refractory consumable for induction-furnace-based steel re-rolling mills (SRRMs) and integrated/secondary steel producers. Ramming mass is &lt;0.5% of the steel producer's cost but mission-critical for furnace uptime and safety. The IPO funds a capacity increase from ~156 KTPA toward ~500-575 KTPA (~3.5x), targeted through Sep 2026. The closest listed comparator is Raghav Productivity Enhancers (RPEL), which has ~33% exports at better realisations.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1,206 Cr (small-cap / SME)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~33% / ~35% (3-yr); average ROE cited ~41%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growth</w:t>
            </w:r>
          </w:p>
        </w:tc>
        <w:tc>
          <w:tcPr>
            <w:tcW w:type="dxa" w:w="5800"/>
          </w:tcPr>
          <w:p>
            <w:r>
              <w:t xml:space="preserve">~88% CAGR over 5 years; Q4 FY26 PAT ~Rs 8.1 Cr, +106%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~55% YoY in Q4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Capacity</w:t>
            </w:r>
          </w:p>
        </w:tc>
        <w:tc>
          <w:tcPr>
            <w:tcW w:type="dxa" w:w="5800"/>
          </w:tcPr>
          <w:p>
            <w:r>
              <w:t xml:space="preserve">~156 KTPA -&gt; ~500-575 KTPA (~3.5x), targeted Sep 2026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~35-40x on an ~Rs 30-32 Cr annualised PAT run-rate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numbers are genuinely strong -- ~33% ROCE, debt-free, ~88% 5-year PAT CAGR, and a ~3.5x capacity expansion that should drive the next growth leg. But the trusted-user opening analysis on the ValuePickr thread is explicit that ramming mass is 'very local, voluminous and commoditised' -- it is freight-limited (so the moat is a logistics radius plus being the largest low-cost player), and the RPEL comparison shows a real competitor with a superior export mix. At ~35-40x for a regional commodity-consumable SME, the multiple already capitalises successful execution of the expansion. Customer base skews to stressed secondary steel re-rollers, a cyclical and credit-sensitive segment.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recently listed SME.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thread topic 214181, only 5 posts. The opening post by T11 (trusted, elevated tier) is a thorough, analytically neutral write-up: frames ramming mass as 'salt in food' -- a tiny, mission-critical consumable -- and lays out the 3.5x capacity plan; it is not an explicit buy call. Subsequent posts are a capacity-enhancement filing, a Q3-results heads-up, and a discussion of why Monolithisch's ROCE/ROE is ~2x RPEL's (capital intensity, product mix, working-capital discipline, growth stage). Thin community coverage overall.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Mildly positive -- a trusted (elevated) user opened detailed coverage, but with no stated conviction. Not a trusted-conviction signal.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2025-12-20 — T11</w:t>
      </w:r>
      <w:r>
        <w:rPr>
          <w:i/>
          <w:iCs/>
          <w:color w:val="666666"/>
          <w:sz w:val="18"/>
          <w:szCs w:val="18"/>
        </w:rPr>
        <w:t xml:space="preserve"> (Monolithisch India Ltd)</w:t>
      </w:r>
      <w:r>
        <w:rPr>
          <w:sz w:val="20"/>
          <w:szCs w:val="20"/>
        </w:rPr>
        <w:br/>
        <w:t xml:space="preserve">: Detailed neutral coverage (not a call) -- ramming mass is a mission-critical but 'very local, voluminous and commoditised' consumable; IPO raised growth capital for a ~3.5x capacity expansion (156 -&gt; ~575 KTPA).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Recently listed SME; Jan 2026 capacity-enhancement announcement filed. No corporate-action red flags identified. Standard SME liquidity / disclosure caveats apply.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returns -- ROCE ~33%, ROE ~35%, debt-free -- and ~88% 5-year PAT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~3.5x capacity expansion (targeted Sep 2026) provides a visible next growth leg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Mission-critical consumable at &lt;0.5% of customer cost -&gt; low price sensitivity for the customer, sticky at the plant 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(elevated) user has opened coverage; India steel-capacity growth is a supportive end-market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Higher ROCE than the listed comparator RPEL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is explicitly 'commoditised' and freight-limited -- moat is a logistics radius + low-cost scale, not a durable franchise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~35-40x multiple already prices successful execution of the capacity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base skews to cyclical, credit-sensitive secondary steel re-rollers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RPEL is a credible competitor with a better (export-weighted) realisation 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SME float; untrusted X-triage origination; no trusted buy conviction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/ SME (~Rs 1,206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tailwind=weak (cyclical steel demand, no structural accelerant). tam=weak (small freight-fragmented ramming-mass market even post-3.5x). moat=weak (trusted analyst: product 'commoditised', freight-limited; moat is logistics radius + low-cost scale; RPEL a credible competitor). valuation=no (~35-40x for a regional commodity SME already pricing the expansion). Score 1.5 -&gt; neither,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returns and a real 3.5x capacity catalyst, but a self-described commodity product and a ~35-40x multiple keep it out of the multi-bagger bucket -- 'neither', conviction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-- steel refractory consumables are not on the active-themes list; this is a recency/lead pass with trusted-user coverage as the reason it earned a deep read.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1.5 -&gt; 'neither' (hard). tailwind weak (cyclical steel end-market, no accelerating structural pull), tam weak (ramming mass is a small, freight-fragmented pool even after 3.5x capacity), moat weak (logistics-radius + low-cost scale, but the trusted analyst calls the product commoditised and a real competitor exists), valuation no (~35-40x for a regional commodity SME). Score 1.5 -&gt; neither regardless of the strong growth print.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 (not Low): the returns profile and the debt-free balance sheet are genuinely high quality and the capacity catalyst is concrete. Not marked revisit_after_30d (thesis 'neither'); re-check after the expansion commissions -- whether utilisation ramps without a realisation crash and whether the multiple compresses to something defensible.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2026-09-09T13:51:42.037Z</dcterms:created>
  <dcterms:modified xsi:type="dcterms:W3CDTF">2026-09-09T13:51:42.038Z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