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Morepen Laboratories Ltd</w:t>
      </w:r>
    </w:p>
    <w:p>
      <w:pPr>
        <w:pBdr>
          <w:bottom w:val="single" w:color="CCCCCC" w:sz="6" w:space="8"/>
        </w:pBdr>
        <w:spacing w:after="200"/>
      </w:pPr>
      <w:r>
        <w:rPr>
          <w:i/>
          <w:iCs/>
          <w:color w:val="666666"/>
          <w:sz w:val="22"/>
          <w:szCs w:val="22"/>
        </w:rPr>
        <w:t xml:space="preserve">A checkered-governance pharma turnaround story now betting its next leg on a surprise CDMO pivot</w:t>
      </w:r>
    </w:p>
    <w:p>
      <w:pPr>
        <w:pStyle w:val="Heading1"/>
        <w:spacing w:after="120" w:before="280"/>
      </w:pPr>
      <w:r>
        <w:t xml:space="preserve">Business Overview</w:t>
      </w:r>
    </w:p>
    <w:p>
      <w:pPr>
        <w:spacing w:after="120"/>
      </w:pPr>
      <w:r>
        <w:t xml:space="preserve">Morepen manufactures pharma APIs and finished formulations (it claims a large share of the US Loratadine/Montelukast generics market) and sells consumer health devices (BP monitors, glucometers) under the Dr. Morepen brand. In 2026 it began pivoting toward CDMO/contract manufacturing after landing a large pharma order.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5,145 Cr</w:t>
            </w:r>
          </w:p>
        </w:tc>
      </w:tr>
      <w:tr>
        <w:tc>
          <w:tcPr>
            <w:tcW w:type="dxa" w:w="3200"/>
            <w:shd w:fill="F2F2F2" w:val="clear"/>
          </w:tcPr>
          <w:p>
            <w:r>
              <w:rPr>
                <w:b/>
                <w:bCs/>
              </w:rPr>
              <w:t xml:space="preserve">ROCE (trailing)</w:t>
            </w:r>
          </w:p>
        </w:tc>
        <w:tc>
          <w:tcPr>
            <w:tcW w:type="dxa" w:w="5800"/>
          </w:tcPr>
          <w:p>
            <w:r>
              <w:t xml:space="preserve">8.31% (below 13.29% median)</w:t>
            </w:r>
          </w:p>
        </w:tc>
      </w:tr>
      <w:tr>
        <w:tc>
          <w:tcPr>
            <w:tcW w:type="dxa" w:w="3200"/>
            <w:shd w:fill="F2F2F2" w:val="clear"/>
          </w:tcPr>
          <w:p>
            <w:r>
              <w:rPr>
                <w:b/>
                <w:bCs/>
              </w:rPr>
              <w:t xml:space="preserve">ROE (trailing)</w:t>
            </w:r>
          </w:p>
        </w:tc>
        <w:tc>
          <w:tcPr>
            <w:tcW w:type="dxa" w:w="5800"/>
          </w:tcPr>
          <w:p>
            <w:r>
              <w:t xml:space="preserve">-0.78% (negative)</w:t>
            </w:r>
          </w:p>
        </w:tc>
      </w:tr>
      <w:tr>
        <w:tc>
          <w:tcPr>
            <w:tcW w:type="dxa" w:w="3200"/>
            <w:shd w:fill="F2F2F2" w:val="clear"/>
          </w:tcPr>
          <w:p>
            <w:r>
              <w:rPr>
                <w:b/>
                <w:bCs/>
              </w:rPr>
              <w:t xml:space="preserve">Revenue growth (5yr)</w:t>
            </w:r>
          </w:p>
        </w:tc>
        <w:tc>
          <w:tcPr>
            <w:tcW w:type="dxa" w:w="5800"/>
          </w:tcPr>
          <w:p>
            <w:r>
              <w:t xml:space="preserve">8.73% (poor trailing)</w:t>
            </w:r>
          </w:p>
        </w:tc>
      </w:tr>
      <w:tr>
        <w:tc>
          <w:tcPr>
            <w:tcW w:type="dxa" w:w="3200"/>
            <w:shd w:fill="F2F2F2" w:val="clear"/>
          </w:tcPr>
          <w:p>
            <w:r>
              <w:rPr>
                <w:b/>
                <w:bCs/>
              </w:rPr>
              <w:t xml:space="preserve">Most recent quarter</w:t>
            </w:r>
          </w:p>
        </w:tc>
        <w:tc>
          <w:tcPr>
            <w:tcW w:type="dxa" w:w="5800"/>
          </w:tcPr>
          <w:p>
            <w:r>
              <w:t xml:space="preserve">Net profit +422% YoY to Rs 56.4 Cr; revenue +34.1% YoY to Rs 570.1 Cr</w:t>
            </w:r>
          </w:p>
        </w:tc>
      </w:tr>
      <w:tr>
        <w:tc>
          <w:tcPr>
            <w:tcW w:type="dxa" w:w="3200"/>
            <w:shd w:fill="F2F2F2" w:val="clear"/>
          </w:tcPr>
          <w:p>
            <w:r>
              <w:rPr>
                <w:b/>
                <w:bCs/>
              </w:rPr>
              <w:t xml:space="preserve">52-week range</w:t>
            </w:r>
          </w:p>
        </w:tc>
        <w:tc>
          <w:tcPr>
            <w:tcW w:type="dxa" w:w="5800"/>
          </w:tcPr>
          <w:p>
            <w:r>
              <w:t xml:space="preserve">Rs 33.44 - 66.36</w:t>
            </w:r>
          </w:p>
        </w:tc>
      </w:tr>
    </w:tbl>
    <w:p>
      <w:pPr>
        <w:spacing w:after="100"/>
      </w:pPr>
    </w:p>
    <w:p>
      <w:pPr>
        <w:spacing w:after="120"/>
      </w:pPr>
      <w:r>
        <w:t xml:space="preserve">Classic inflection case: the 5-year trailing average (8.73% revenue CAGR, negative trailing ROE) is weak, but the most recent quarter shows a sharp jump (revenue +34%, PAT +422% YoY), driven by early execution on an 823 Cr CDMO order announced roughly 6 months ago. Rs 58 Cr of that order was delivered in Q1 itself, alongside a clean USFDA inspection.</w:t>
      </w:r>
    </w:p>
    <w:p>
      <w:pPr>
        <w:pStyle w:val="Heading1"/>
        <w:spacing w:after="120" w:before="280"/>
      </w:pPr>
      <w:r>
        <w:t xml:space="preserve">Guidance &amp; Expectation Gap</w:t>
      </w:r>
    </w:p>
    <w:p>
      <w:pPr>
        <w:spacing w:after="120"/>
      </w:pPr>
      <w:r>
        <w:rPr>
          <w:i/>
          <w:iCs/>
          <w:color w:val="666666"/>
          <w:sz w:val="18"/>
          <w:szCs w:val="18"/>
        </w:rPr>
        <w:t xml:space="preserve">Management guidance decoded into commitments, graded on the expectation → action → operational → commercial → financial ladder, then compared to what the current price appears to assume. Method: playbook/guidance-and-expectation-gap.md.</w:t>
      </w:r>
    </w:p>
    <w:p>
      <w:pPr>
        <w:spacing w:after="120"/>
      </w:pPr>
      <w:r>
        <w:rPr>
          <w:b/>
          <w:bCs/>
          <w:sz w:val="20"/>
          <w:szCs w:val="20"/>
        </w:rPr>
        <w:t xml:space="preserve">Market expectation vs. our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 of</w:t>
            </w:r>
          </w:p>
        </w:tc>
        <w:tc>
          <w:tcPr>
            <w:tcW w:type="dxa" w:w="5800"/>
          </w:tcPr>
          <w:p>
            <w:r>
              <w:t xml:space="preserve">2026-09-09</w:t>
            </w:r>
          </w:p>
        </w:tc>
      </w:tr>
      <w:tr>
        <w:tc>
          <w:tcPr>
            <w:tcW w:type="dxa" w:w="3200"/>
            <w:shd w:fill="F2F2F2" w:val="clear"/>
          </w:tcPr>
          <w:p>
            <w:r>
              <w:rPr>
                <w:b/>
                <w:bCs/>
              </w:rPr>
              <w:t xml:space="preserve">Price / multiple</w:t>
            </w:r>
          </w:p>
        </w:tc>
        <w:tc>
          <w:tcPr>
            <w:tcW w:type="dxa" w:w="5800"/>
          </w:tcPr>
          <w:p>
            <w:r>
              <w:t xml:space="preserve">Rs 117 · 54.5x P/E</w:t>
            </w:r>
          </w:p>
        </w:tc>
      </w:tr>
      <w:tr>
        <w:tc>
          <w:tcPr>
            <w:tcW w:type="dxa" w:w="3200"/>
            <w:shd w:fill="F2F2F2" w:val="clear"/>
          </w:tcPr>
          <w:p>
            <w:r>
              <w:rPr>
                <w:b/>
                <w:bCs/>
              </w:rPr>
              <w:t xml:space="preserve">Right valuation lens</w:t>
            </w:r>
          </w:p>
        </w:tc>
        <w:tc>
          <w:tcPr>
            <w:tcW w:type="dxa" w:w="5800"/>
          </w:tcPr>
          <w:p>
            <w:r>
              <w:t xml:space="preserve">P/E</w:t>
            </w:r>
          </w:p>
        </w:tc>
      </w:tr>
      <w:tr>
        <w:tc>
          <w:tcPr>
            <w:tcW w:type="dxa" w:w="3200"/>
            <w:shd w:fill="F2F2F2" w:val="clear"/>
          </w:tcPr>
          <w:p>
            <w:r>
              <w:rPr>
                <w:b/>
                <w:bCs/>
              </w:rPr>
              <w:t xml:space="preserve">Price implies</w:t>
            </w:r>
          </w:p>
        </w:tc>
        <w:tc>
          <w:tcPr>
            <w:tcW w:type="dxa" w:w="5800"/>
          </w:tcPr>
          <w:p>
            <w:r>
              <w:t xml:space="preserve">~55x trailing earnings on a business with ~8% ROCE and flat FY26 revenue; the multiple prices the CDMO/CMO pivot scaling into a multi-year growth + margin story -- needs ~40%+ EPS CAGR for 3-4 years to be defensible against a ~20x pharma exit</w:t>
            </w:r>
          </w:p>
        </w:tc>
      </w:tr>
      <w:tr>
        <w:tc>
          <w:tcPr>
            <w:tcW w:type="dxa" w:w="3200"/>
            <w:shd w:fill="F2F2F2" w:val="clear"/>
          </w:tcPr>
          <w:p>
            <w:r>
              <w:rPr>
                <w:b/>
                <w:bCs/>
              </w:rPr>
              <w:t xml:space="preserve">Our FY27</w:t>
            </w:r>
          </w:p>
        </w:tc>
        <w:tc>
          <w:tcPr>
            <w:tcW w:type="dxa" w:w="5800"/>
          </w:tcPr>
          <w:p>
            <w:r>
              <w:t xml:space="preserve">revenue +15-25% as the Rs 823 Cr order executes (Rs 58 Cr delivered in Q1), OPM recovering toward 10-11%, PAT sharply up off a low FY26 base</w:t>
            </w:r>
          </w:p>
        </w:tc>
      </w:tr>
      <w:tr>
        <w:tc>
          <w:tcPr>
            <w:tcW w:type="dxa" w:w="3200"/>
            <w:shd w:fill="F2F2F2" w:val="clear"/>
          </w:tcPr>
          <w:p>
            <w:r>
              <w:rPr>
                <w:b/>
                <w:bCs/>
              </w:rPr>
              <w:t xml:space="preserve">Our FY28</w:t>
            </w:r>
          </w:p>
        </w:tc>
        <w:tc>
          <w:tcPr>
            <w:tcW w:type="dxa" w:w="5800"/>
          </w:tcPr>
          <w:p>
            <w:r>
              <w:t xml:space="preserve">depends entirely on repeat CDMO orders converting the single-customer win into a pipeline; base business (API + diagnostics) grows mid-teens</w:t>
            </w:r>
          </w:p>
        </w:tc>
      </w:tr>
      <w:tr>
        <w:tc>
          <w:tcPr>
            <w:tcW w:type="dxa" w:w="3200"/>
            <w:shd w:fill="F2F2F2" w:val="clear"/>
          </w:tcPr>
          <w:p>
            <w:r>
              <w:rPr>
                <w:b/>
                <w:bCs/>
              </w:rPr>
              <w:t xml:space="preserve">Gap direction</w:t>
            </w:r>
          </w:p>
        </w:tc>
        <w:tc>
          <w:tcPr>
            <w:tcW w:type="dxa" w:w="5800"/>
          </w:tcPr>
          <w:p>
            <w:r>
              <w:t xml:space="preserve">over-optimistic</w:t>
            </w:r>
          </w:p>
        </w:tc>
      </w:tr>
      <w:tr>
        <w:tc>
          <w:tcPr>
            <w:tcW w:type="dxa" w:w="3200"/>
            <w:shd w:fill="F2F2F2" w:val="clear"/>
          </w:tcPr>
          <w:p>
            <w:r>
              <w:rPr>
                <w:b/>
                <w:bCs/>
              </w:rPr>
              <w:t xml:space="preserve">Gap type</w:t>
            </w:r>
          </w:p>
        </w:tc>
        <w:tc>
          <w:tcPr>
            <w:tcW w:type="dxa" w:w="5800"/>
          </w:tcPr>
          <w:p>
            <w:r>
              <w:t xml:space="preserve">new_business</w:t>
            </w:r>
          </w:p>
        </w:tc>
      </w:tr>
      <w:tr>
        <w:tc>
          <w:tcPr>
            <w:tcW w:type="dxa" w:w="3200"/>
            <w:shd w:fill="F2F2F2" w:val="clear"/>
          </w:tcPr>
          <w:p>
            <w:r>
              <w:rPr>
                <w:b/>
                <w:bCs/>
              </w:rPr>
              <w:t xml:space="preserve">Gap magnitude</w:t>
            </w:r>
          </w:p>
        </w:tc>
        <w:tc>
          <w:tcPr>
            <w:tcW w:type="dxa" w:w="5800"/>
          </w:tcPr>
          <w:p>
            <w:r>
              <w:t xml:space="preserve">not estimable</w:t>
            </w:r>
          </w:p>
        </w:tc>
      </w:tr>
      <w:tr>
        <w:tc>
          <w:tcPr>
            <w:tcW w:type="dxa" w:w="3200"/>
            <w:shd w:fill="F2F2F2" w:val="clear"/>
          </w:tcPr>
          <w:p>
            <w:r>
              <w:rPr>
                <w:b/>
                <w:bCs/>
              </w:rPr>
              <w:t xml:space="preserve">Gap basis</w:t>
            </w:r>
          </w:p>
        </w:tc>
        <w:tc>
          <w:tcPr>
            <w:tcW w:type="dxa" w:w="5800"/>
          </w:tcPr>
          <w:p>
            <w:r>
              <w:t xml:space="preserve">a ~55x multiple already prices a durable CDMO franchise, but the order is one customer and one quarter old, the community disputes CDMO vs commoditised CMO economics, trailing ROE is negative, FCF is deeply negative on capex, and governance history (2019 SEBI ban, CBI case) warrants a discount</w:t>
            </w:r>
          </w:p>
        </w:tc>
      </w:tr>
      <w:tr>
        <w:tc>
          <w:tcPr>
            <w:tcW w:type="dxa" w:w="3200"/>
            <w:shd w:fill="F2F2F2" w:val="clear"/>
          </w:tcPr>
          <w:p>
            <w:r>
              <w:rPr>
                <w:b/>
                <w:bCs/>
              </w:rPr>
              <w:t xml:space="preserve">Evidence quality</w:t>
            </w:r>
          </w:p>
        </w:tc>
        <w:tc>
          <w:tcPr>
            <w:tcW w:type="dxa" w:w="5800"/>
          </w:tcPr>
          <w:p>
            <w:r>
              <w:t xml:space="preserve">weak</w:t>
            </w:r>
          </w:p>
        </w:tc>
      </w:tr>
    </w:tbl>
    <w:p>
      <w:pPr>
        <w:spacing w:after="120"/>
      </w:pPr>
      <w:r>
        <w:rPr>
          <w:i/>
          <w:iCs/>
          <w:color w:val="666666"/>
          <w:sz w:val="16"/>
          <w:szCs w:val="16"/>
        </w:rPr>
        <w:t xml:space="preserve">no broker consensus; implied path is a reverse-P/E estimate + screener.in forward figures + VP thread view</w:t>
      </w:r>
    </w:p>
    <w:p>
      <w:pPr>
        <w:pStyle w:val="Heading1"/>
        <w:spacing w:after="120" w:before="280"/>
      </w:pPr>
      <w:r>
        <w:t xml:space="preserve">Ishmohit-Lens Checks (value chain · earnings quality · growth trajectory · management · quality metrics · track record · global-signal check)</w:t>
      </w:r>
    </w:p>
    <w:p>
      <w:pPr>
        <w:spacing w:after="120"/>
      </w:pPr>
      <w:r>
        <w:rPr>
          <w:i/>
          <w:iCs/>
          <w:color w:val="666666"/>
          <w:sz w:val="18"/>
          <w:szCs w:val="18"/>
        </w:rPr>
        <w:t xml:space="preserve">Extra checks drawn from @ishmohit1 / SOIC methodology (playbook/ishmohit-soic-style.md): where the company sits in its value chain and what the supply side is doing, whether a margin/PAT inflection is structural or a cyclical peak, the rate-of-change of growth vs. what the multiple demands, and management quality as a positive attribute.</w:t>
      </w:r>
    </w:p>
    <w:p>
      <w:pPr>
        <w:spacing w:after="120"/>
      </w:pPr>
      <w:r>
        <w:rPr>
          <w:b/>
          <w:bCs/>
          <w:sz w:val="20"/>
          <w:szCs w:val="20"/>
        </w:rPr>
        <w:t xml:space="preserve">Quality metrics (ROCE · debt · FCF · margin · capex):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Assessment</w:t>
            </w:r>
          </w:p>
        </w:tc>
        <w:tc>
          <w:tcPr>
            <w:tcW w:type="dxa" w:w="5800"/>
          </w:tcPr>
          <w:p>
            <w:r>
              <w:t xml:space="preserve">concern</w:t>
            </w:r>
          </w:p>
        </w:tc>
      </w:tr>
      <w:tr>
        <w:tc>
          <w:tcPr>
            <w:tcW w:type="dxa" w:w="3200"/>
            <w:shd w:fill="F2F2F2" w:val="clear"/>
          </w:tcPr>
          <w:p>
            <w:r>
              <w:rPr>
                <w:b/>
                <w:bCs/>
              </w:rPr>
              <w:t xml:space="preserve">ROCE</w:t>
            </w:r>
          </w:p>
        </w:tc>
        <w:tc>
          <w:tcPr>
            <w:tcW w:type="dxa" w:w="5800"/>
          </w:tcPr>
          <w:p>
            <w:r>
              <w:t xml:space="preserve">8% (declining)</w:t>
            </w:r>
          </w:p>
        </w:tc>
      </w:tr>
      <w:tr>
        <w:tc>
          <w:tcPr>
            <w:tcW w:type="dxa" w:w="3200"/>
            <w:shd w:fill="F2F2F2" w:val="clear"/>
          </w:tcPr>
          <w:p>
            <w:r>
              <w:rPr>
                <w:b/>
                <w:bCs/>
              </w:rPr>
              <w:t xml:space="preserve">Leverage</w:t>
            </w:r>
          </w:p>
        </w:tc>
        <w:tc>
          <w:tcPr>
            <w:tcW w:type="dxa" w:w="5800"/>
          </w:tcPr>
          <w:p>
            <w:r>
              <w:t xml:space="preserve">Net debt/EBITDA 1.1x</w:t>
            </w:r>
          </w:p>
        </w:tc>
      </w:tr>
      <w:tr>
        <w:tc>
          <w:tcPr>
            <w:tcW w:type="dxa" w:w="3200"/>
            <w:shd w:fill="F2F2F2" w:val="clear"/>
          </w:tcPr>
          <w:p>
            <w:r>
              <w:rPr>
                <w:b/>
                <w:bCs/>
              </w:rPr>
              <w:t xml:space="preserve">FCF conversion</w:t>
            </w:r>
          </w:p>
        </w:tc>
        <w:tc>
          <w:tcPr>
            <w:tcW w:type="dxa" w:w="5800"/>
          </w:tcPr>
          <w:p>
            <w:r>
              <w:t xml:space="preserve">-85%</w:t>
            </w:r>
          </w:p>
        </w:tc>
      </w:tr>
      <w:tr>
        <w:tc>
          <w:tcPr>
            <w:tcW w:type="dxa" w:w="3200"/>
            <w:shd w:fill="F2F2F2" w:val="clear"/>
          </w:tcPr>
          <w:p>
            <w:r>
              <w:rPr>
                <w:b/>
                <w:bCs/>
              </w:rPr>
              <w:t xml:space="preserve">Margin trend</w:t>
            </w:r>
          </w:p>
        </w:tc>
        <w:tc>
          <w:tcPr>
            <w:tcW w:type="dxa" w:w="5800"/>
          </w:tcPr>
          <w:p>
            <w:r>
              <w:t xml:space="preserve">contracting</w:t>
            </w:r>
          </w:p>
        </w:tc>
      </w:tr>
      <w:tr>
        <w:tc>
          <w:tcPr>
            <w:tcW w:type="dxa" w:w="3200"/>
            <w:shd w:fill="F2F2F2" w:val="clear"/>
          </w:tcPr>
          <w:p>
            <w:r>
              <w:rPr>
                <w:b/>
                <w:bCs/>
              </w:rPr>
              <w:t xml:space="preserve">Capex efficiency</w:t>
            </w:r>
          </w:p>
        </w:tc>
        <w:tc>
          <w:tcPr>
            <w:tcW w:type="dxa" w:w="5800"/>
          </w:tcPr>
          <w:p>
            <w:r>
              <w:t xml:space="preserve">neutral</w:t>
            </w:r>
          </w:p>
        </w:tc>
      </w:tr>
    </w:tbl>
    <w:p>
      <w:pPr>
        <w:spacing w:after="60" w:before="120"/>
      </w:pPr>
      <w:r>
        <w:rPr>
          <w:b/>
          <w:bCs/>
          <w:sz w:val="20"/>
          <w:szCs w:val="20"/>
        </w:rPr>
        <w:t xml:space="preserve">Track record (Coffee Can persistence check): </w:t>
      </w:r>
      <w:r>
        <w:rPr>
          <w:sz w:val="20"/>
          <w:szCs w:val="20"/>
        </w:rPr>
        <w:t xml:space="preserve">cleared revenue growth ≥10% AND ROCE ≥15% in 3 of the last 11 years (consistency_score 27)</w:t>
      </w:r>
    </w:p>
    <w:p>
      <w:pPr>
        <w:spacing w:after="120"/>
      </w:pPr>
      <w:r>
        <w:rPr>
          <w:color w:val="666666"/>
          <w:sz w:val="18"/>
          <w:szCs w:val="18"/>
        </w:rPr>
        <w:t xml:space="preserve">Per screener.in consolidated (FY16-FY26): only FY21, FY22 and FY24 cleared both &gt;=10% revenue growth and &gt;=15% ROCE -- FY21-22 were the COVID-diagnostics boom (ROCE 23%). FY16-20 ran ROCE 8-10%; FY25 revenue grew only 7%; FY26 revenue was flat and ROCE fell back to 8%. Not a consistent compounder.</w:t>
      </w:r>
    </w:p>
    <w:p>
      <w:pPr>
        <w:pStyle w:val="Heading1"/>
        <w:spacing w:after="120" w:before="280"/>
      </w:pPr>
      <w:r>
        <w:t xml:space="preserve">Technical Read (Weekly / Monthly MACD + Bollinger Bands, or RSI/CCI/Williams %R proxy)</w:t>
      </w:r>
    </w:p>
    <w:p>
      <w:pPr>
        <w:spacing w:after="120"/>
      </w:pPr>
      <w:r>
        <w:t xml:space="preserve">Not independently pulled this pass — stock is near a 52-week high (~Rs 66) after the CDMO news broke.</w:t>
      </w:r>
    </w:p>
    <w:p>
      <w:pPr>
        <w:pStyle w:val="Heading1"/>
        <w:spacing w:after="120" w:before="280"/>
      </w:pPr>
      <w:r>
        <w:t xml:space="preserve">ValuePickr Community Signal</w:t>
      </w:r>
    </w:p>
    <w:p>
      <w:pPr>
        <w:spacing w:after="120"/>
      </w:pPr>
      <w:r>
        <w:t xml:space="preserve">Read the most recent 50 of 64 posts (2015-2026), single batch. Sentiment through 2015-2022 centers on a long-running debt-reduction/turnaround narrative repeatedly overshadowed by governance history (a 2019 SEBI trading ban tied to a 2003 GDR case, a CBI case against promoter Sushil Suri, and a 2025 medical-devices hive-off criticized by some as unfavorable to minority shareholders). The last ~6 posts (Aug 2026) pivot sharply to the new CDMO story.</w:t>
      </w:r>
    </w:p>
    <w:p>
      <w:pPr>
        <w:spacing w:after="120"/>
      </w:pPr>
      <w:r>
        <w:rPr>
          <w:b/>
          <w:bCs/>
          <w:sz w:val="20"/>
          <w:szCs w:val="20"/>
        </w:rPr>
        <w:t xml:space="preserve">High-conviction call from a top contributor: </w:t>
      </w:r>
      <w:r>
        <w:rPr>
          <w:sz w:val="20"/>
          <w:szCs w:val="20"/>
        </w:rPr>
        <w:t xml:space="preserve">Trusted user Niraj_Punjkaran broke the CDMO story (2026-08-16): '823 cr CDMO order...clean USFDA inspection...swift execution by 58cr delivery by Q1 itself,' but flagged it as unconfirmed — 'lets see it unfold over the next few qtrs.' Trusted user vikasbargale questioned whether it's genuinely CDMO (with development work) or just contract manufacturing (CMO); Niraj_Punjkaran agreed it's presently a CMO relationship pending proof of a pipeline of repeat orders.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2026-08-17 — vikasbargale</w:t>
      </w:r>
      <w:r>
        <w:rPr>
          <w:i/>
          <w:iCs/>
          <w:color w:val="666666"/>
          <w:sz w:val="18"/>
          <w:szCs w:val="18"/>
        </w:rPr>
        <w:t xml:space="preserve"> (Morepen Labs)</w:t>
      </w:r>
      <w:r>
        <w:rPr>
          <w:sz w:val="20"/>
          <w:szCs w:val="20"/>
        </w:rPr>
        <w:br/>
        <w:t xml:space="preserve">: Questioned whether the new business is genuinely CDMO (with development IP) or just contract manufacturing (CMO) — a material distinction for the re-rating thesis.</w:t>
      </w:r>
    </w:p>
    <w:p>
      <w:pPr>
        <w:spacing w:after="100"/>
      </w:pPr>
      <w:r>
        <w:rPr>
          <w:b/>
          <w:bCs/>
          <w:sz w:val="20"/>
          <w:szCs w:val="20"/>
        </w:rPr>
        <w:t xml:space="preserve">2026-08-16 — Niraj_Punjkaran</w:t>
      </w:r>
      <w:r>
        <w:rPr>
          <w:i/>
          <w:iCs/>
          <w:color w:val="666666"/>
          <w:sz w:val="18"/>
          <w:szCs w:val="18"/>
        </w:rPr>
        <w:t xml:space="preserve"> (Morepen Labs)</w:t>
      </w:r>
      <w:r>
        <w:rPr>
          <w:sz w:val="20"/>
          <w:szCs w:val="20"/>
        </w:rPr>
        <w:br/>
        <w:t xml:space="preserve">: Flagged the 823 Cr CDMO/CMO order and clean USFDA inspection as a potential re-rating catalyst, explicitly caveated as unconfirmed pending follow-up orders.</w:t>
      </w:r>
    </w:p>
    <w:p>
      <w:pPr>
        <w:pStyle w:val="Heading1"/>
        <w:spacing w:after="120" w:before="280"/>
      </w:pPr>
      <w:r>
        <w:t xml:space="preserve">BSE Corporate Actions / Other Red Flags</w:t>
      </w:r>
    </w:p>
    <w:p>
      <w:pPr>
        <w:spacing w:after="120"/>
      </w:pPr>
      <w:r>
        <w:t xml:space="preserve">2019: Sebi banned Morepen and promoter Sushil Suri from markets over a 2003 GDR-related capital-raising case (historical, resolved/settled, not an active current action). No current active SEBI/BSE action identified this pass.</w:t>
      </w:r>
    </w:p>
    <w:p>
      <w:pPr>
        <w:pStyle w:val="Heading1"/>
        <w:spacing w:after="120" w:before="280"/>
      </w:pPr>
      <w:r>
        <w:t xml:space="preserve">Bull Case</w:t>
      </w:r>
    </w:p>
    <w:p>
      <w:pPr>
        <w:pStyle w:val="ListParagraph"/>
        <w:numPr>
          <w:ilvl w:val="0"/>
          <w:numId w:val="1"/>
        </w:numPr>
        <w:spacing w:after="60"/>
      </w:pPr>
      <w:r>
        <w:t xml:space="preserve">Recent-quarter inflection is real and specific: Rs 823 Cr CDMO/CMO order, Rs 58 Cr already delivered in Q1, clean USFDA inspection — not just narrative</w:t>
      </w:r>
    </w:p>
    <w:p>
      <w:pPr>
        <w:pStyle w:val="ListParagraph"/>
        <w:numPr>
          <w:ilvl w:val="0"/>
          <w:numId w:val="1"/>
        </w:numPr>
        <w:spacing w:after="60"/>
      </w:pPr>
      <w:r>
        <w:t xml:space="preserve">Existing base business (API + consumer diagnostics) already growing (Q1 revenue +34% YoY, PAT +422% YoY) independent of the CDMO story</w:t>
      </w:r>
    </w:p>
    <w:p>
      <w:pPr>
        <w:pStyle w:val="ListParagraph"/>
        <w:numPr>
          <w:ilvl w:val="0"/>
          <w:numId w:val="1"/>
        </w:numPr>
        <w:spacing w:after="60"/>
      </w:pPr>
      <w:r>
        <w:t xml:space="preserve">Trading at a depressed multiple partly attributable to legacy governance overhang, which could re-rate if the CDMO relationship proves durable</w:t>
      </w:r>
    </w:p>
    <w:p>
      <w:pPr>
        <w:pStyle w:val="Heading1"/>
        <w:spacing w:after="120" w:before="280"/>
      </w:pPr>
      <w:r>
        <w:t xml:space="preserve">Bear Case / Key Risks</w:t>
      </w:r>
    </w:p>
    <w:p>
      <w:pPr>
        <w:pStyle w:val="ListParagraph"/>
        <w:numPr>
          <w:ilvl w:val="0"/>
          <w:numId w:val="1"/>
        </w:numPr>
        <w:spacing w:after="60"/>
      </w:pPr>
      <w:r>
        <w:t xml:space="preserve">Trailing 5-year fundamentals are genuinely weak (8.73% revenue CAGR, negative trailing ROE) — the CDMO catalyst is unconfirmed, single-customer, and only one quarter old</w:t>
      </w:r>
    </w:p>
    <w:p>
      <w:pPr>
        <w:pStyle w:val="ListParagraph"/>
        <w:numPr>
          <w:ilvl w:val="0"/>
          <w:numId w:val="1"/>
        </w:numPr>
        <w:spacing w:after="60"/>
      </w:pPr>
      <w:r>
        <w:t xml:space="preserve">Governance history is a real, repeated pattern: 2019 SEBI ban, CBI case against the promoter, past debt restructuring, and a 2025 medical-devices hive-off several posters felt shortchanged minority shareholders</w:t>
      </w:r>
    </w:p>
    <w:p>
      <w:pPr>
        <w:pStyle w:val="ListParagraph"/>
        <w:numPr>
          <w:ilvl w:val="0"/>
          <w:numId w:val="1"/>
        </w:numPr>
        <w:spacing w:after="60"/>
      </w:pPr>
      <w:r>
        <w:t xml:space="preserve">Community itself disputes whether this is true CDMO (sticky, IP-driven, higher-margin) or plain-vanilla CMO (commoditized, competitive) — the bull case hinges on which it turns out to be</w:t>
      </w:r>
    </w:p>
    <w:p>
      <w:pPr>
        <w:pStyle w:val="ListParagraph"/>
        <w:numPr>
          <w:ilvl w:val="0"/>
          <w:numId w:val="1"/>
        </w:numPr>
        <w:spacing w:after="60"/>
      </w:pPr>
      <w:r>
        <w:t xml:space="preserve">Negative operating cash flow flagged by multiple posters in 2023-2025 tied to rising receivables even as sales growth was inconsistent</w:t>
      </w:r>
    </w:p>
    <w:p>
      <w:pPr>
        <w:pStyle w:val="Heading1"/>
        <w:spacing w:after="120" w:before="280"/>
      </w:pPr>
      <w:r>
        <w:t xml:space="preserve">Market-Cap Tier (informational — not a gate in this project)</w:t>
      </w:r>
    </w:p>
    <w:p>
      <w:pPr>
        <w:spacing w:after="120"/>
      </w:pPr>
      <w:r>
        <w:rPr>
          <w:b/>
          <w:bCs/>
        </w:rPr>
        <w:t xml:space="preserve">Mid-cap (~Rs 5,145 Cr)</w:t>
      </w:r>
    </w:p>
    <w:p>
      <w:pPr>
        <w:pStyle w:val="Heading1"/>
        <w:spacing w:after="120" w:before="280"/>
      </w:pPr>
      <w:r>
        <w:t xml:space="preserve">Thesis Fit</w:t>
      </w:r>
    </w:p>
    <w:p>
      <w:pPr>
        <w:spacing w:after="120"/>
      </w:pPr>
      <w:r>
        <w:rPr>
          <w:b/>
          <w:bCs/>
          <w:sz w:val="24"/>
          <w:szCs w:val="24"/>
        </w:rPr>
        <w:t xml:space="preserve">10x-in-2-3-years</w:t>
      </w:r>
    </w:p>
    <w:p>
      <w:pPr>
        <w:spacing w:after="120"/>
      </w:pPr>
      <w:r>
        <w:rPr>
          <w:color w:val="666666"/>
          <w:sz w:val="20"/>
          <w:szCs w:val="20"/>
        </w:rPr>
        <w:t xml:space="preserve">4-box gate — tailwind: weak · TAM: yes · moat: no · valuation: weak  (score 2 / 4)</w:t>
      </w:r>
    </w:p>
    <w:p>
      <w:pPr>
        <w:spacing w:after="120"/>
      </w:pPr>
      <w:r>
        <w:rPr>
          <w:i/>
          <w:iCs/>
          <w:color w:val="666666"/>
          <w:sz w:val="20"/>
          <w:szCs w:val="20"/>
        </w:rPr>
        <w:t xml:space="preserve">CDMO/CMO relationship (Rs823cr order) is a single-customer catalyst, unconfirmed as durable — tailwind weak; Rs58cr already delivered in Q1 plus existing API/diagnostics growth (+34%/+422% PAT) supports tam via the inflection rule; community itself disputes whether this is sticky CDMO vs commoditized CMO — moat no; no valuation data. 2019 SEBI ban + CBI case against promoter is a serious separate governance flag.</w:t>
      </w:r>
    </w:p>
    <w:p>
      <w:pPr>
        <w:pStyle w:val="Heading1"/>
        <w:spacing w:after="120" w:before="280"/>
      </w:pPr>
      <w:r>
        <w:t xml:space="preserve">Verdict</w:t>
      </w:r>
    </w:p>
    <w:p>
      <w:pPr>
        <w:spacing w:after="120"/>
      </w:pPr>
      <w:r>
        <w:rPr>
          <w:b/>
          <w:bCs/>
          <w:sz w:val="24"/>
          <w:szCs w:val="24"/>
        </w:rPr>
        <w:t xml:space="preserve">A real but single-quarter, single-customer inflection riding on top of a genuinely weak trailing base and a checkered governance history</w:t>
      </w:r>
    </w:p>
    <w:p>
      <w:pPr>
        <w:pStyle w:val="ListParagraph"/>
        <w:numPr>
          <w:ilvl w:val="0"/>
          <w:numId w:val="1"/>
        </w:numPr>
        <w:spacing w:after="60"/>
      </w:pPr>
      <w:r>
        <w:t xml:space="preserve">Per the project's inflection rule, a weak trailing average with a strong, specific, recent-quarter catalyst (the CDMO order, USFDA clearance, and already-delivered revenue) merits a 10x-in-2-3-years tag at low conviction with an explicit unconfirmed caveat, not a flat 'neither'</w:t>
      </w:r>
    </w:p>
    <w:p>
      <w:pPr>
        <w:pStyle w:val="ListParagraph"/>
        <w:numPr>
          <w:ilvl w:val="0"/>
          <w:numId w:val="1"/>
        </w:numPr>
        <w:spacing w:after="60"/>
      </w:pPr>
      <w:r>
        <w:t xml:space="preserve">The community itself — including a trusted user — is withholding full conviction pending confirmation of repeat orders and clarity on CDMO vs CMO economics, which argues for Low rather than Medium conviction</w:t>
      </w:r>
    </w:p>
    <w:p>
      <w:pPr>
        <w:pStyle w:val="ListParagraph"/>
        <w:numPr>
          <w:ilvl w:val="0"/>
          <w:numId w:val="1"/>
        </w:numPr>
        <w:spacing w:after="60"/>
      </w:pPr>
      <w:r>
        <w:t xml:space="preserve">Governance history (SEBI ban, CBI case, minority-unfriendly restructuring) is a real, recurring pattern that should discount conviction independent of the current catalyst's credibility</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2026-09-09T18:20:29.801Z</dcterms:created>
  <dcterms:modified xsi:type="dcterms:W3CDTF">2026-09-09T18:20:29.802Z</dcterms:modified>
</cp:coreProperties>
</file>

<file path=docProps/custom.xml><?xml version="1.0" encoding="utf-8"?>
<Properties xmlns="http://schemas.openxmlformats.org/officeDocument/2006/custom-properties" xmlns:vt="http://schemas.openxmlformats.org/officeDocument/2006/docPropsVTypes"/>
</file>