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Navin Fluorine International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Fluorochemicals specialist recovering sharply from a 2023 governance scare, now riding a new data-center cooling catalyst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Navin Fluorine manufactures specialty fluorochemicals for pharma, agrochemicals, refrigeration, and industrial uses via custom synthesis (CDMO) and high-performance products (HPP). It is one of India's structural beneficiaries of the China+1 shift in fluorochemistry.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Rs 42,359 Cr (up 65.4% in 1 year)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17.98%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ROE</w:t>
            </w:r>
          </w:p>
        </w:tc>
        <w:tc>
          <w:tcPr>
            <w:tcW w:type="dxa" w:w="5800"/>
          </w:tcPr>
          <w:p>
            <w:r>
              <w:t xml:space="preserve">16.69%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CAGR</w:t>
            </w:r>
          </w:p>
        </w:tc>
        <w:tc>
          <w:tcPr>
            <w:tcW w:type="dxa" w:w="5800"/>
          </w:tcPr>
          <w:p>
            <w:r>
              <w:t xml:space="preserve">15.23% (vs industry median 7.39%)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Debt/Equity</w:t>
            </w:r>
          </w:p>
        </w:tc>
        <w:tc>
          <w:tcPr>
            <w:tcW w:type="dxa" w:w="5800"/>
          </w:tcPr>
          <w:p>
            <w:r>
              <w:t xml:space="preserve">0.31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Solid capital efficiency and above-industry growth, with the stock up 65% over the past year as recovery and a new catalyst took hold. Debt is modest. Q3 FY26 and Q1 FY27 quarters (per forum concall summaries) both beat expectations, with operating EBITDA up 106% YoY in one recent quarter.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Stock hit a 52-week low in late 2023 on an MD resignation shock, then staged a strong multi-quarter recovery culminating in a technical breakout tied to the Chemours data-center cooling tie-up news.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Read the most recent 50 of 84 posts (single batch — the narrative arc, from the MD-resignation selloff through to the current recovery/catalyst phase, was clearly captured without needing to escalate). Sentiment moved from sharply negative (Sept 2023 MD resignation, 13% single-day fall, concall described as giving 'negative impressions') to strongly positive by 2025-26, driven by margin expansion and the Chemours liquid-cooling tie-up for data centers, a genuinely new growth vertical.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No trusted-user (phreakv6) posts found in this thread. Multiple independent posters (karanshah137, Snowman — disclosed invested) converged on bullish updates around the Q3 FY26 and Q1 FY27 results with consistent love counts (4-8), and management has now formally declared 'Advanced Materials' as a fourth business vertical off the back of the cooling-tech opportunity.</w:t>
      </w:r>
    </w:p>
    <w:p>
      <w:pPr>
        <w:pStyle w:val="Heading1"/>
        <w:spacing w:after="120" w:before="280"/>
      </w:pPr>
      <w:r>
        <w:t xml:space="preserve">Trusted-User Signals (Ongoing)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Every time a trusted user expresses clear conviction on this stock, most recent first — this section accumulates over time, it isn't a one-time snapshot.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2026-09-02 — Midhunjoe</w:t>
      </w:r>
      <w:r>
        <w:rPr>
          <w:i/>
          <w:iCs/>
          <w:color w:val="666666"/>
          <w:sz w:val="18"/>
          <w:szCs w:val="18"/>
        </w:rPr>
        <w:t xml:space="preserve"> (Midhun's Investment journey (own thread, elevated tier))</w:t>
      </w:r>
      <w:r>
        <w:rPr>
          <w:sz w:val="20"/>
          <w:szCs w:val="20"/>
        </w:rPr>
        <w:br/>
        <w:t xml:space="preserve">: post #90: named among 17 core holdings; "highest % gains (Neuland, Navin) ... held over 4-5 years." #91-92 discussion of holding Navin patiently through its 2021-25 consolidation. elevated-tier source -&gt; floor_active=false.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 SEBI/regulatory action found. The 2023 MD resignation was a governance scare but was not accompanied by fraud allegations or promoter-holding collapse — does not meet a red-flag tier.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Chemours tie-up for data-center liquid cooling is a genuinely new, structurally growing demand vertical layered onto the existing specialty chemicals base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Sharp recovery in execution post-2023 governance scare, with EBITDA margin expansion (19.2% to 28.5% quarter-over-quarter cited in one update) and consistent beats since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China+1 sourcing shift remains a structural tailwind for Indian fluorochemistry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Market cap has already grown to Rs 42,359 Cr (+65% in a year) — much of the recovery/catalyst story may already be priced in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2023 governance scare (unexplained MD exit) is a reminder that management-stability risk is not zero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Data-center cooling remains an early-stage vertical; execution and scale-up risk not yet proven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Large-cap (~Rs 42,359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no · moat: weak · valuation: weak  (score 2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Verdict explicit: 'fundamentals and the Chemours catalyst are real and community-verified across multiple quarters' (tailwind=yes); Rs42,359cr market cap rules out 10x/100x (tam=no).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Strong recovery story with a genuine new catalyst (data-center cooling), but already large and richly re-rated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Fundamentals and the Chemours catalyst are real and community-verified across multiple quarters, not speculative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But at Rs 42,359 Cr market cap, a 10x-in-2-3-years move is implausible without an extraordinary catalyst beyond what's currently visible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100x-in-10-years is not realistic at this size either — this is a quality large-cap compounding story, not a multibagger microcap setup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2026-09-10T15:47:14.160Z</dcterms:created>
  <dcterms:modified xsi:type="dcterms:W3CDTF">2026-09-10T15:47:14.161Z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