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Northern Arc Capital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Recently-listed diversified NBFC (~Rs 4,850 Cr) trading ~1.2x book / ~11x earnings, growing AUM ~26% and PAT ~41%, with asset quality now improving QoQ, credit cost falling (3.2% -&gt; 2.6%) and D2C own-book mix at ~64% - the ROE inflection to mid-teens is the re-rating lever, capped by an ~11-12% blended ROE today and a big FY25 AUM guidance miss on the record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Northern Arc operates two segments: (1) direct-to-consumer (D2C) lending across MSME, MFI, LAP, 2-wheeler, consumer and housing - now ~64% of AUM (Rs ~10,800 Cr, +51% YoY) and higher NIM; (2) 'credit solutions' - originating and placing loans for other financial institutions via its Nimbus platform (declining share). Also runs investment management (NAIM - launched a Rs 1,000-1,500 Cr Finserve AIF and a USD 65m climate fund in 2026), an advisory arm and 'AltiFi' (retail bond platform). RBI granted factoring-business approval in 2026. ~450 branches, adding 50-60 this year. Professionally/institutionally owned - no promoter.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4,850 Cr (small/mid-cap); price ~Rs 300, 52-wk Rs 206-334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 / ROE</w:t>
            </w:r>
          </w:p>
        </w:tc>
        <w:tc>
          <w:tcPr>
            <w:tcW w:type="dxa" w:w="5800"/>
          </w:tcPr>
          <w:p>
            <w:r>
              <w:t xml:space="preserve">ROE 11.1% FY26 (Q4 FY26 14%; Q1 FY27 11.5%); ROA 2.8% FY26 / 2.7% Q1 FY27; 3-yr guide ROA 3.5-4%, ROE 16-18%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Lending AUM Rs 16,855 Cr Jun-2026 (+26% YoY); FY26 PAT Rs 406 Cr (+33% YoY); Q1 FY27 PAT Rs 114 Cr (+41% YoY)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Asset quality</w:t>
            </w:r>
          </w:p>
        </w:tc>
        <w:tc>
          <w:tcPr>
            <w:tcW w:type="dxa" w:w="5800"/>
          </w:tcPr>
          <w:p>
            <w:r>
              <w:t xml:space="preserve">GNPA 1.0% / NNPA 0.5% (Jun 2026, both improved ~20/15 bps QoQ); Rs 66 Cr overlap/management provision retained from Mar-2026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Margins</w:t>
            </w:r>
          </w:p>
        </w:tc>
        <w:tc>
          <w:tcPr>
            <w:tcW w:type="dxa" w:w="5800"/>
          </w:tcPr>
          <w:p>
            <w:r>
              <w:t xml:space="preserve">NIM 9.3-9.4% (guidance ~10%); credit cost 2.6% Q1 FY27, down from 3.2% Q4 FY25; FY27 guide 2.3-2.8%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Valuation</w:t>
            </w:r>
          </w:p>
        </w:tc>
        <w:tc>
          <w:tcPr>
            <w:tcW w:type="dxa" w:w="5800"/>
          </w:tcPr>
          <w:p>
            <w:r>
              <w:t xml:space="preserve">~1.24x book / ~11x earnings; listed Sep 2024; brokerage 12-m target ~Rs 350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A cheap, fast-growing NBFC with a differentiated model: through the last 5 years of MFI/consumer stress that produced large write-offs at many peers, Northern Arc kept credit costs contained, and they are now normalising down (Q4 FY25 3.2% -&gt; FY26 2.8% -&gt; Q1 FY27 2.6%). The deep-dive established that asset quality is genuinely improving, not just optically: GNPA/NNPA both fell ~20/15 bps QoQ in Q1 FY27 to 1.0%/0.5%, and the long-standing 'low NPA / high credit cost' criticism has a credible structural answer - unsecured loans are written off at 90 DPD, so they never sit in the NPA bucket while the credit-cost line absorbs them. The mix shift to higher-NIM own-book D2C lending has accelerated (50% -&gt; 59% FY26 -&gt; 64% Q1 FY27; target &gt;two-thirds). Growth is solid (AUM +26%, PAT +41%) and the stock trades at ~1.24x book. The reservations: blended ROE is still only ~11-12% (below cost of equity; the 16-18% three-year target is untested), management missed its FY25 AUM guidance badly (25-27% guided vs 16.4% delivered) before recalibrating and hitting FY26 numbers precisely, Q3 FY26 flagged emerging stress in unsecured business loans and small-ticket LAP, and no promoter is cited as a reason the market is slow to re-rate.</w:t>
      </w:r>
    </w:p>
    <w:p>
      <w:pPr>
        <w:pStyle w:val="Heading1"/>
        <w:spacing w:after="120" w:before="280"/>
      </w:pPr>
      <w:r>
        <w:t xml:space="preserve">Deep-Dive: Primary Documents (Annual Reports, Quarterly Results, Exchange Filings)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Pass 1 — 2026-09-04. Built from the company's own filings (3 years of annual reports, ~4 quarters of results/concalls, and 6 months of BSE/NSE announcements), read via the web — a deeper layer than the forum-sentiment read below.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Sources reviewed this pass: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results / AR highlights + Q4 FY26 and Q2 FY26 concall transcripts (northernarc.com) - AUM mix, NIM, ROA/ROE, credit-cost bridge, 3-year guidance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(Jun-2026) results + earnings call - AUM Rs 16,855 Cr, PAT Rs 114 Cr, GNPA/NNPA, credit cost, branch adds, D2C mix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Exencial Research Partners deep note - FY25 AUM miss, credit-cost cycle table, PCR/90-DPD write-off mechanics, fee-income gap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Corporate actions Feb-Aug 2026 - RBI factoring approval, USD 65m climate fund, Rs 1,000 Cr Finserve AIF; valuation from ICICIdirect/screener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Annual-report findings (3-year view):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FY26: PAT Rs 406 Cr (+33% YoY), AUM +21.7% to Rs 16,594 Cr (within the recalibrated 20-22% band), NIM 9.4% (+25 bps), ROA 2.8% (hit guidance), ROE 11.1% (+110 bps)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D2C own-book AUM +39% to Rs 9,792 Cr, share up ~720 bps in one year to 59% (Q1 FY27: 64%); credit-solutions/placement business shrinking as planned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Credit-cost cycle clearly past its peak: Q4 FY25 3.2% (MFI stress) -&gt; Q2 FY26 2.7% -&gt; FY26 2.8% -&gt; FY27 guide 2.3-2.8%; MFI-segment credit cost 7.7% -&gt; 5.1% within FY26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Management's biggest credibility event is the FY25 AUM miss (guided 25-27%, delivered 16.4%); it then recalibrated openly and delivered FY26 growth and ROA on the nose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3-year aspiration: ROA 3.7-4%, ROE 16-18%; nearer term 3.0-3.2% ROA 'over the next 4-6 quarters'. Fee income has run at ~70-90 bps vs a 110-120 bps target - the clearest execution gap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promoter; institutionally owned. Dividend policy still 'under board debate'. Undrawn sanctions fell from Rs 1,233 Cr (Jun-25) to Rs 783 Cr (Mar-26)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Quarterly trend (last ~4 quarters + concall commentary):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Q1 FY27 (Jun-2026): AUM Rs 16,855 Cr (+26% YoY), PAT Rs 114 Cr (+41% YoY), NIM 9.3%, ROA 2.7%, ROE 11.5%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GNPA 1.0% / NNPA 0.5% - both improved ~20 / 15 bps QoQ; credit cost 2.6%; Rs 66 Cr overlap provision from the Mar-2026 digital-book ECL exercise retained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 branches added in Q1 (FY27 target 50-60); cost of funds seen 'rate-bound' at 8.5-8.6%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Concall tone: 'strong start to FY27', disciplined execution, granular retail focus; management flagged geopolitical and monsoon/rural risks as the watch items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Exchange announcements (last 6 months):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2026: RBI approval to undertake factoring business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2026: USD 65m raised from global development banks for a maiden climate fund (Northern Arc Investments IFSC Trust)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2026: NAIM launched the 'Finserve Fund' AIF - Rs 1,000 Cr target + Rs 500 Cr green-shoe, lending across six sectors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Routine debt private placements approved at board meetings; no equity issuance, no rating action, no board/auditor change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Key new facts vs. the prior write-up: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 quality is improving on the reported numbers, not just narratively - GNPA and NNPA both fell QoQ in Q1 FY27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'low NPA / high credit cost' paradox is structural and explainable: unsecured loans are written off at 90 DPD so they bypass the NPA bucket while credit cost absorbs them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Credit-cost peak was Q4 FY25 at 3.2%; the down-cycle to ~2.5% is already underway and quantified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FY25 AUM miss (25-27% guided vs 16.4%) is the concrete guidance-credibility ding; FY26 was then delivered precisely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Fee income (~70-90 bps vs 110-120 bps target) is the real unfinished piece of the ROA-improvement story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Open questions / what to watch: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Does the ROE actually reach mid-teens on the 4-6 quarter timeline, or does it stall around 12-13%?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Do the Q3 FY26 stress signals in unsecured business loans / small-ticket LAP turn into a genuine credit event?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Can the platform/fee businesses (Nimbus, AltiFi, factoring, AIF) close the 20-40 bps fee-income gap?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Dividend policy - resolution and payout ratio still unknown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Conviction impact: </w:t>
      </w:r>
      <w:r>
        <w:rPr>
          <w:sz w:val="20"/>
          <w:szCs w:val="20"/>
        </w:rPr>
        <w:t xml:space="preserve">Medium -&gt; Medium-High. The FY26 AR and Q1 FY27 concall confirm the thesis on every axis (AUM +26%, PAT +41%, GNPA/NNPA down QoQ, credit cost 3.2% -&gt; 2.6%, D2C mix 50% -&gt; 64%, Q4 FY26 ROE 14%) and give a credible structural answer to the main asset-quality-optics bear point. Held short of High by an ~11-12% blended ROE below cost of equity and the FY25 AUM guidance miss.</w:t>
      </w:r>
    </w:p>
    <w:p>
      <w:pPr>
        <w:pStyle w:val="Heading1"/>
        <w:spacing w:after="120" w:before="280"/>
      </w:pPr>
      <w:r>
        <w:t xml:space="preserve">Guidance &amp; Expectation Gap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Management guidance decoded into commitments, graded on the expectation → action → operational → commercial → financial ladder, then compared to what the current price appears to assume. Method: playbook/guidance-and-expectation-gap.md.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Commitment ladder (most-proven first):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2600"/>
        <w:gridCol w:w="2400"/>
        <w:gridCol w:w="900"/>
        <w:gridCol w:w="1200"/>
        <w:gridCol w:w="800"/>
      </w:tblGrid>
      <w:tr>
        <w:trPr>
          <w:tblHeader/>
        </w:trPr>
        <w:tc>
          <w:tcPr>
            <w:tcW w:type="dxa" w:w="11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6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Commitment</w:t>
            </w:r>
          </w:p>
        </w:tc>
        <w:tc>
          <w:tcPr>
            <w:tcW w:type="dxa" w:w="24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Specifics</w:t>
            </w:r>
          </w:p>
        </w:tc>
        <w:tc>
          <w:tcPr>
            <w:tcW w:type="dxa" w:w="9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By when</w:t>
            </w:r>
          </w:p>
        </w:tc>
        <w:tc>
          <w:tcPr>
            <w:tcW w:type="dxa" w:w="12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Stage</w:t>
            </w:r>
          </w:p>
        </w:tc>
        <w:tc>
          <w:tcPr>
            <w:tcW w:type="dxa" w:w="800"/>
            <w:shd w:fill="F2F2F2" w:val="clear"/>
          </w:tcPr>
          <w:p>
            <w:r>
              <w:rPr>
                <w:b/>
                <w:bCs/>
                <w:sz w:val="18"/>
                <w:szCs w:val="18"/>
              </w:rPr>
              <w:t xml:space="preserve">Thesis-critical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D2C own-book mix to more than two-thirds of AUM within 3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50% -&gt; 59% (FY26) -&gt; 64% (Q1 FY27)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financial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growth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Sustainable AUM growth 22-25% in FY27 (25-28% long term), risk-calibrated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delivered 21.7% vs a recalibrated 20-22% band; FY25 missed (16.4% vs 25-27%)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Blended credit cost 2.3-2.8% in FY27, trending toward ~2.5%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Q4 FY25 3.2% -&gt; FY26 2.8% -&gt; Q1 FY27 2.6%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margin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ROA to 3.0-3.2% over the next 4-6 quarters; 3.7-4% within 3 years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FY26 ROA 2.8%; Q1 FY27 2.7%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FY28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expectation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yes</w:t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capacity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Add 50-60 branches in FY27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added in Q1 FY27; base ~430-450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FY27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operational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1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new_business</w:t>
            </w:r>
          </w:p>
        </w:tc>
        <w:tc>
          <w:tcPr>
            <w:tcW w:type="dxa" w:w="26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Scale fee income to 110-120 bps of assets (Nimbus, AltiFi, factoring, AIF)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running ~70-90 bps; Rs 1,000-1,500 Cr Finserve AIF launched; RBI factoring approval received</w:t>
            </w:r>
          </w:p>
        </w:tc>
        <w:tc>
          <w:tcPr>
            <w:tcW w:type="dxa" w:w="9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beyond</w:t>
            </w:r>
          </w:p>
        </w:tc>
        <w:tc>
          <w:tcPr>
            <w:tcW w:type="dxa" w:w="12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action</w:t>
            </w:r>
          </w:p>
        </w:tc>
        <w:tc>
          <w:tcPr>
            <w:tcW w:type="dxa" w:w="8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Earnings chain: </w:t>
      </w:r>
      <w:r>
        <w:rPr>
          <w:b w:val="false"/>
          <w:bCs w:val="false"/>
          <w:sz w:val="20"/>
          <w:szCs w:val="20"/>
        </w:rPr>
        <w:t xml:space="preserve">D2C own-book mix shift to higher-yield lending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blended NIM expansion (9.4% -&gt; ~10%)</w:t>
      </w:r>
      <w:r>
        <w:rPr>
          <w:color w:val="666666"/>
          <w:sz w:val="20"/>
          <w:szCs w:val="20"/>
        </w:rPr>
        <w:t xml:space="preserve"> → </w:t>
      </w:r>
      <w:r>
        <w:rPr>
          <w:b/>
          <w:bCs/>
          <w:color w:val="A32020"/>
          <w:sz w:val="20"/>
          <w:szCs w:val="20"/>
        </w:rPr>
        <w:t xml:space="preserve">credit-cost normalisation (2.8% -&gt; ~2.5%)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operating leverage as branch vintage matures + AUM scales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ROA 2.8% -&gt; 3.5%+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ROE 11% -&gt; 16-18%</w:t>
      </w:r>
      <w:r>
        <w:rPr>
          <w:color w:val="666666"/>
          <w:sz w:val="20"/>
          <w:szCs w:val="20"/>
        </w:rPr>
        <w:t xml:space="preserve"> → </w:t>
      </w:r>
      <w:r>
        <w:rPr>
          <w:b w:val="false"/>
          <w:bCs w:val="false"/>
          <w:sz w:val="20"/>
          <w:szCs w:val="20"/>
        </w:rPr>
        <w:t xml:space="preserve">PAT compounding + P/B re-rating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Bottleneck link: credit-cost normalisation (2.8% -&gt; ~2.5%).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Operating leverage: yes - opex ratio falls as new branches season and AUM grows on a largely fixed platform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Evidenced: D2C own-book mix shift to higher-yield lending; blended NIM expansion (9.4% -&gt; ~10%); credit-cost normalisation (2.8% -&gt; ~2.5%). Still assumed: ROA 2.8% -&gt; 3.5%+; ROE 11% -&gt; 16-18%; PAT compounding + P/B re-rating.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Market expectation vs. our path: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 of</w:t>
            </w:r>
          </w:p>
        </w:tc>
        <w:tc>
          <w:tcPr>
            <w:tcW w:type="dxa" w:w="5800"/>
          </w:tcPr>
          <w:p>
            <w:r>
              <w:t xml:space="preserve">2026-09-04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/ multiple</w:t>
            </w:r>
          </w:p>
        </w:tc>
        <w:tc>
          <w:tcPr>
            <w:tcW w:type="dxa" w:w="5800"/>
          </w:tcPr>
          <w:p>
            <w:r>
              <w:t xml:space="preserve">Rs 300 · 11x P/E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Right valuation lens</w:t>
            </w:r>
          </w:p>
        </w:tc>
        <w:tc>
          <w:tcPr>
            <w:tcW w:type="dxa" w:w="5800"/>
          </w:tcPr>
          <w:p>
            <w:r>
              <w:t xml:space="preserve">P/B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Price implies</w:t>
            </w:r>
          </w:p>
        </w:tc>
        <w:tc>
          <w:tcPr>
            <w:tcW w:type="dxa" w:w="5800"/>
          </w:tcPr>
          <w:p>
            <w:r>
              <w:t xml:space="preserve">At ~1.24x book / ~11x earnings the market implies mid-teens book-value CAGR with ROE stuck around 11-12%. A re-rating toward ~1.8-2x book requires ROE sustained at 15%+, i.e. roughly 20-25% EPS CAGR FY26-28 against a ~16-18x fair exit multiple.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FY27</w:t>
            </w:r>
          </w:p>
        </w:tc>
        <w:tc>
          <w:tcPr>
            <w:tcW w:type="dxa" w:w="5800"/>
          </w:tcPr>
          <w:p>
            <w:r>
              <w:t xml:space="preserve">PAT +30-35% (~Rs 520-550 Cr) on 24-26% AUM growth, NIM ~9.5%, credit cost ~2.5%, ROA ~3.0%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Our FY28</w:t>
            </w:r>
          </w:p>
        </w:tc>
        <w:tc>
          <w:tcPr>
            <w:tcW w:type="dxa" w:w="5800"/>
          </w:tcPr>
          <w:p>
            <w:r>
              <w:t xml:space="preserve">PAT +25-30%, ROA 3.3-3.5%, ROE 14-15% as opex leverage and fee income build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direction</w:t>
            </w:r>
          </w:p>
        </w:tc>
        <w:tc>
          <w:tcPr>
            <w:tcW w:type="dxa" w:w="5800"/>
          </w:tcPr>
          <w:p>
            <w:r>
              <w:t xml:space="preserve">partially-priced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type</w:t>
            </w:r>
          </w:p>
        </w:tc>
        <w:tc>
          <w:tcPr>
            <w:tcW w:type="dxa" w:w="5800"/>
          </w:tcPr>
          <w:p>
            <w:r>
              <w:t xml:space="preserve">margin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magnitude</w:t>
            </w:r>
          </w:p>
        </w:tc>
        <w:tc>
          <w:tcPr>
            <w:tcW w:type="dxa" w:w="5800"/>
          </w:tcPr>
          <w:p>
            <w:r>
              <w:t xml:space="preserve">15% (our FY28 PAT vs implied)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Gap basis</w:t>
            </w:r>
          </w:p>
        </w:tc>
        <w:tc>
          <w:tcPr>
            <w:tcW w:type="dxa" w:w="5800"/>
          </w:tcPr>
          <w:p>
            <w:r>
              <w:t xml:space="preserve">The price embeds ROE staying ~11-12%; the D2C mix shift, credit-cost normalisation and opex leverage point to 15%+ ROE by FY28, which supports a re-rating toward 1.8-2x book. The stock's 25% 12-month run shows the market sees the growth but not yet the full return-on-equity re-rating.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Evidence quality</w:t>
            </w:r>
          </w:p>
        </w:tc>
        <w:tc>
          <w:tcPr>
            <w:tcW w:type="dxa" w:w="5800"/>
          </w:tcPr>
          <w:p>
            <w:r>
              <w:t xml:space="preserve">moderate</w:t>
            </w:r>
          </w:p>
        </w:tc>
      </w:tr>
    </w:tbl>
    <w:p>
      <w:pPr>
        <w:spacing w:after="120"/>
      </w:pPr>
      <w:r>
        <w:rPr>
          <w:i/>
          <w:iCs/>
          <w:color w:val="666666"/>
          <w:sz w:val="16"/>
          <w:szCs w:val="16"/>
        </w:rPr>
        <w:t xml:space="preserve">no broker consensus; implied path is a reverse-P/E estimate + screener.in forward figures + VP thread view</w:t>
      </w:r>
    </w:p>
    <w:p>
      <w:pPr>
        <w:spacing w:after="120" w:before="120"/>
      </w:pPr>
      <w:r>
        <w:rPr>
          <w:b/>
          <w:bCs/>
          <w:sz w:val="20"/>
          <w:szCs w:val="20"/>
        </w:rPr>
        <w:t xml:space="preserve">Catalyst: </w:t>
      </w:r>
      <w:r>
        <w:rPr>
          <w:sz w:val="20"/>
          <w:szCs w:val="20"/>
        </w:rPr>
        <w:t xml:space="preserve">2-3 consecutive quarters of credit cost &lt;=2.5% plus ROA crossing 3.0%, confirming the ROE inflection toward mid-teens</w:t>
      </w:r>
      <w:r>
        <w:rPr>
          <w:color w:val="666666"/>
          <w:sz w:val="18"/>
          <w:szCs w:val="18"/>
        </w:rPr>
        <w:t xml:space="preserve"> (window ~9M from 2026-09-04; undated; evidence med; pending)</w:t>
      </w:r>
    </w:p>
    <w:p>
      <w:pPr>
        <w:pStyle w:val="Heading1"/>
        <w:spacing w:after="120" w:before="280"/>
      </w:pPr>
      <w:r>
        <w:t xml:space="preserve">Ishmohit-Lens Checks (value chain · earnings quality · growth trajectory · management · quality metrics · track record · global-signal check)</w:t>
      </w:r>
    </w:p>
    <w:p>
      <w:pPr>
        <w:spacing w:after="120"/>
      </w:pPr>
      <w:r>
        <w:rPr>
          <w:i/>
          <w:iCs/>
          <w:color w:val="666666"/>
          <w:sz w:val="18"/>
          <w:szCs w:val="18"/>
        </w:rPr>
        <w:t xml:space="preserve">Extra checks drawn from @ishmohit1 / SOIC methodology (playbook/ishmohit-soic-style.md): where the company sits in its value chain and what the supply side is doing, whether a margin/PAT inflection is structural or a cyclical peak, the rate-of-change of growth vs. what the multiple demands, and management quality as a positive attribute.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Value chain &amp; supply side: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Theme</w:t>
            </w:r>
          </w:p>
        </w:tc>
        <w:tc>
          <w:tcPr>
            <w:tcW w:type="dxa" w:w="5800"/>
          </w:tcPr>
          <w:p>
            <w:r>
              <w:t xml:space="preserve">retail credit / diversified NBFC lending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This company's position</w:t>
            </w:r>
          </w:p>
        </w:tc>
        <w:tc>
          <w:tcPr>
            <w:tcW w:type="dxa" w:w="5800"/>
          </w:tcPr>
          <w:p>
            <w:r>
              <w:t xml:space="preserve">multi-sector originate-and-hold lender plus a debt-market platform (Nimbus) that originates and places loans for other financial institutions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Bottleneck node (pricing power)</w:t>
            </w:r>
          </w:p>
        </w:tc>
        <w:tc>
          <w:tcPr>
            <w:tcW w:type="dxa" w:w="5800"/>
          </w:tcPr>
          <w:p>
            <w:r>
              <w:t xml:space="preserve">cost of funds + through-cycle underwriting discipline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Supply-side status</w:t>
            </w:r>
          </w:p>
        </w:tc>
        <w:tc>
          <w:tcPr>
            <w:tcW w:type="dxa" w:w="5800"/>
          </w:tcPr>
          <w:p>
            <w:r>
              <w:t xml:space="preserve">consolidating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Adjacent-node peers</w:t>
            </w:r>
          </w:p>
        </w:tc>
        <w:tc>
          <w:tcPr>
            <w:tcW w:type="dxa" w:w="5800"/>
          </w:tcPr>
          <w:p>
            <w:r>
              <w:t xml:space="preserve">CreditAccess Grameen, Five-Star Business Finance, Fusion Finance, MAS Financial Services</w:t>
            </w:r>
          </w:p>
        </w:tc>
      </w:tr>
    </w:tbl>
    <w:p>
      <w:pPr>
        <w:spacing w:after="120"/>
      </w:pPr>
      <w:r>
        <w:rPr>
          <w:color w:val="666666"/>
          <w:sz w:val="18"/>
          <w:szCs w:val="18"/>
        </w:rPr>
        <w:t xml:space="preserve">MFI/unsecured supply is consolidating after the FY24-25 stress - survivors with intact underwriting (Northern Arc kept credit costs contained) gain share and pricing. Funding cost and cycle management gate the returns.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Earnings quality: </w:t>
      </w:r>
      <w:r>
        <w:rPr>
          <w:sz w:val="20"/>
          <w:szCs w:val="20"/>
        </w:rPr>
        <w:t xml:space="preserve">margin driver mixed</w:t>
      </w:r>
      <w:r>
        <w:rPr>
          <w:b/>
          <w:bCs/>
          <w:color w:val="A32020"/>
          <w:sz w:val="20"/>
          <w:szCs w:val="20"/>
        </w:rPr>
        <w:t xml:space="preserve"/>
      </w:r>
    </w:p>
    <w:p>
      <w:pPr>
        <w:spacing w:after="120"/>
      </w:pPr>
      <w:r>
        <w:rPr>
          <w:color w:val="666666"/>
          <w:sz w:val="18"/>
          <w:szCs w:val="18"/>
        </w:rPr>
        <w:t xml:space="preserve">Drivers: D2C own-book mix shift raising blended yield (structural); credit-cost normalisation off the FY25 MFI peak (cyclical); operating leverage on the branch build (structural).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ROA ~2.8% is mid-cycle and below management's 3.5-4% aspiration; credit cost 2.6% is still above a ~2% normalised level. Earnings are in recovery, not at a peak - the risk is the recovery stalling, not mean-reversion from a high.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Growth trajectory: </w:t>
      </w:r>
      <w:r>
        <w:rPr>
          <w:b w:val="false"/>
          <w:bCs w:val="false"/>
          <w:sz w:val="20"/>
          <w:szCs w:val="20"/>
        </w:rPr>
        <w:t xml:space="preserve">YoY growth rate is accelerating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AUM YoY roughly steady 22-26% across the last 4-6 quarters. PAT YoY oldest-&gt;newest: ~+24% (Q3 FY26), +251% (Q4 FY26, depressed prior-year base), +41% (Q1 FY27) - underlying PAT growth accelerating on credit-cost relief and mix.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Reverse P/E: ~11x trailing earnings needs only ~15% EPS CAGR to hold; realised/near-term PAT growth (30%+) clears that comfortably, leaving the upside in a P/B re-rating if ROE reaches mid-teens.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Management quality (TVGP's "P"):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positive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Capital allocation</w:t>
            </w:r>
          </w:p>
        </w:tc>
        <w:tc>
          <w:tcPr>
            <w:tcW w:type="dxa" w:w="5800"/>
          </w:tcPr>
          <w:p>
            <w:r>
              <w:t xml:space="preserve">Reinvests all earnings into AUM at an ~11-14% ROE (below cost of equity today, targeted to mid-teens); no dividend yet (policy 'under board debate'); no unrelated diversification - factoring, climate fund and the Finserve AIF are all on-strategy adjacencies.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Related-party trend</w:t>
            </w:r>
          </w:p>
        </w:tc>
        <w:tc>
          <w:tcPr>
            <w:tcW w:type="dxa" w:w="5800"/>
          </w:tcPr>
          <w:p>
            <w:r>
              <w:t xml:space="preserve">clean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Guidance credibility</w:t>
            </w:r>
          </w:p>
        </w:tc>
        <w:tc>
          <w:tcPr>
            <w:tcW w:type="dxa" w:w="5800"/>
          </w:tcPr>
          <w:p>
            <w:r>
              <w:t xml:space="preserve">mixed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Shareholder returns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Capability ladder / VAP</w:t>
            </w:r>
          </w:p>
        </w:tc>
        <w:tc>
          <w:tcPr>
            <w:tcW w:type="dxa" w:w="5800"/>
          </w:tcPr>
          <w:p>
            <w:r>
              <w:t xml:space="preserve">Explicit move up the value curve: originate-and-distribute -&gt; higher-yield own-book D2C retail; building fee-income platforms (Nimbus co-lending, AltiFi retail bonds, factoring).</w:t>
            </w:r>
          </w:p>
        </w:tc>
      </w:tr>
    </w:tbl>
    <w:p>
      <w:pPr>
        <w:spacing w:after="120"/>
      </w:pPr>
      <w:r>
        <w:rPr>
          <w:b/>
          <w:bCs/>
          <w:sz w:val="20"/>
          <w:szCs w:val="20"/>
        </w:rPr>
        <w:t xml:space="preserve">Quality metrics (ROCE · debt · FCF · margin · capex):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Assessment</w:t>
            </w:r>
          </w:p>
        </w:tc>
        <w:tc>
          <w:tcPr>
            <w:tcW w:type="dxa" w:w="5800"/>
          </w:tcPr>
          <w:p>
            <w:r>
              <w:t xml:space="preserve">concern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11% (declining)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Leverage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FCF conversion</w:t>
            </w:r>
          </w:p>
        </w:tc>
        <w:tc>
          <w:tcPr>
            <w:tcW w:type="dxa" w:w="5800"/>
          </w:tcPr>
          <w:p>
            <w:r>
              <w:t xml:space="preserve">—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Margin trend</w:t>
            </w:r>
          </w:p>
        </w:tc>
        <w:tc>
          <w:tcPr>
            <w:tcW w:type="dxa" w:w="5800"/>
          </w:tcPr>
          <w:p>
            <w:r>
              <w:t xml:space="preserve">contracting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Capex efficiency</w:t>
            </w:r>
          </w:p>
        </w:tc>
        <w:tc>
          <w:tcPr>
            <w:tcW w:type="dxa" w:w="5800"/>
          </w:tcPr>
          <w:p>
            <w:r>
              <w:t xml:space="preserve">neutral</w:t>
            </w:r>
          </w:p>
        </w:tc>
      </w:tr>
    </w:tbl>
    <w:p>
      <w:pPr>
        <w:spacing w:after="60" w:before="120"/>
      </w:pPr>
      <w:r>
        <w:rPr>
          <w:b/>
          <w:bCs/>
          <w:sz w:val="20"/>
          <w:szCs w:val="20"/>
        </w:rPr>
        <w:t xml:space="preserve">Track record (Coffee Can persistence check): </w:t>
      </w:r>
      <w:r>
        <w:rPr>
          <w:sz w:val="20"/>
          <w:szCs w:val="20"/>
        </w:rPr>
        <w:t xml:space="preserve">cleared revenue growth ≥10% AND ROCE ≥15% in 1 of the last 5 years (consistency_score 20)</w:t>
      </w:r>
    </w:p>
    <w:p>
      <w:pPr>
        <w:spacing w:after="120"/>
      </w:pPr>
      <w:r>
        <w:rPr>
          <w:color w:val="666666"/>
          <w:sz w:val="18"/>
          <w:szCs w:val="18"/>
        </w:rPr>
        <w:t xml:space="preserve">NBFC adaptation: profitability leg uses ROE (ROCE not meaningful for a lender). FY22-FY26 total-income growth 34% / 43% / 45% / 24% / 15%; ROE 11% / 13% / 15% / 11% / 11%. Both cleared only FY24 (growth +45%, ROE 15%) = 1 of 5 -- ROE has sat below 15% through the MFI-sector stress.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independently pulled. Up ~25% over 12 months and ~20% over 6 months; trades ~1.24x book, mid of a Rs 206-334 52-week range.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most recent ~16 of 51 posts (Feb 2026 to Aug 2026). hitesh2710 (elevated, invested) is the clearest positive: 'consistency continues in Q1 FY27... slightly differentiated business model vs run-of-the-mill NBFCs... even during the past 5 years when others suffered massive write-offs, Northern Arc remained a model of consistency. If and when markets recognise this company for what I feel it is, one can see good returns.' thakurvi (invested) notes the mix shift to own-book/higher-NIM lending, which should attract a better multiple. aditya14920251 shared a detailed 3-part blog ('Smart money is quietly buying this Rs 4,000 Cr NBFC'). Counter-weight: murali603 (elevated) is on the sidelines - 'I will enter once they start reducing provisions... NPA numbers always on the lower side and credit cost on the higher side since listing.' Snowman/thakurvi discussed the one-time digital-book ECL as the cause of the Q3 price fall.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One genuine positive conviction signal from an elevated, invested member (hitesh2710) on the quality/consistency of the model. Balanced by an elevated member (murali603) who is deliberately waiting on the sidelines over asset-quality optics - a concern the FY26/Q1 FY27 filings substantially answer (credit cost falling, GNPA/NNPA improving QoQ, 90-DPD write-off explanation). Net: a credible quality endorsement, not a unanimous one.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IPO September 2024. Q2 to Q3 FY26 credit cost rose ~Rs 92 Cr to ~Rs 130 Cr on a one-time ECL reassessment of the digital-lending book; an Rs 66 Cr overlap provision from that exercise is still retained as of Mar/Jun 2026. 2026 corporate actions: RBI approval to undertake factoring business; USD 65m maiden climate fund via Northern Arc Investments IFSC Trust; Rs 1,000 Cr (+Rs 500 Cr green-shoe) Finserve AIF launched by NAIM; routine debt private placements. No equity dilution/QIP, no rating downgrade, no auditor or board-level red flag surfaced. No promoter (institutionally owned). No SEBI action; no red-flag tier.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Cheap (~1.24x book, ~11x earnings) for AUM +26% / PAT +41% growth and an improving mix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Asset quality improving on the numbers - GNPA/NNPA both down QoQ in Q1 FY27; credit cost normalising 3.2% (Q4 FY25) -&gt; 2.6% (Q1 FY27)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The 'low NPA / high credit cost' bear point has a credible structural answer (unsecured written off at 90 DPD, never enters the NPA bucket)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Mix shift to higher-NIM own-book D2C lending accelerating (50% -&gt; 64% of AUM in a year) - the re-rating driver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ROE inflecting (Q4 FY26 14% vs 11.1% FY26 full-year); 3-year guide ROA 3.5-4% / ROE 16-18%, plus a trusted-user (hitesh2710) quality endorsement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Fee-income optionality: Nimbus co-lending platform, AltiFi retail bonds, new factoring licence, Rs 1,000 Cr+ AIF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Blended ROE still only ~11-12% - below cost of equity, and the 16-18% three-year target is untested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Management missed FY25 AUM guidance badly (25-27% guided vs 16.4% delivered) before recalibrating - guidance credibility is 'mixed', not proven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Q3 FY26 flagged emerging stress in unsecured business loans and small-ticket LAP - the next MFI-style pattern to watch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Fee income has run below its own 110-120 bps target (~70-90 bps) - platform monetisation is slow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MFI-cycle and consumer-credit exposure; sector sentiment weak; no promoter has historically meant a slower re-rating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true 10x from ~Rs 4,850 Cr in 2-3 years is unrealistic for an NBFC - brokerages see ~1.3-1.6x over that horizon; the honest base case is a 2-3x on re-rating plus compounding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4,850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spacing w:after="120"/>
      </w:pPr>
      <w:r>
        <w:rPr>
          <w:color w:val="666666"/>
          <w:sz w:val="20"/>
          <w:szCs w:val="20"/>
        </w:rPr>
        <w:t xml:space="preserve">4-box gate — tailwind: weak · TAM: yes · moat: weak · valuation: yes  (score 3 / 4)</w:t>
      </w:r>
    </w:p>
    <w:p>
      <w:pPr>
        <w:spacing w:after="120"/>
      </w:pPr>
      <w:r>
        <w:rPr>
          <w:i/>
          <w:iCs/>
          <w:color w:val="666666"/>
          <w:sz w:val="20"/>
          <w:szCs w:val="20"/>
        </w:rPr>
        <w:t xml:space="preserve">tailwind weak (retail-credit formalisation is real but MFI/unsecured cycle exposure and weak sector sentiment offset it); moat weak (multi-sector underwriting data + through-cycle discipline, but NBFC lending is not a structural moat). tam yes (Rs 16,855 Cr book in a huge market) and valuation yes (1.24x book / 11x earnings not pricing the ROE re-rating) carry it to 3.0 -&gt; return-magnitude label permitted; realistic base case is a 2-3x.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 label retained at MEDIUM-HIGH conviction - a cheap NBFC (~1.2x book) improving on every axis this pass (asset quality, credit cost, D2C mix, Q4 ROE 14%), with the main asset-quality-optics bear point substantially answered; realistically a 2-3x re-rating-plus-compounding, held short of higher conviction by an ~11-12% blended ROE and a big FY25 guidance miss on record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Kept as '10x-in-2-3-years' under the four-box gate (score 3.0: tam yes, valuation yes) - a small/mid-cap at 1.24x book with 26% AUM growth, accelerating mix shift and a genuine ROE inflection path; the return-magnitude label is permitted with the standing caveat that the realistic base case is a 2-3x, not a literal 10x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Conviction raised MEDIUM -&gt; MEDIUM-HIGH: the FY26 AR and Q1 FY27 concall confirm the thesis - credit cost down 3.2% -&gt; 2.6%, GNPA/NNPA improving QoQ, D2C mix 50% -&gt; 64%, Q4 FY26 ROE 14% - and give a credible structural answer to murali603's 'low NPA / high credit cost' concern (unsecured written off at 90 DPD)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Held short of High by the ~11-12% blended ROE (below CoE), the untested 16-18% target, the FY25 AUM guidance miss, slow fee-income monetisation and Q3 FY26's emerging unsecured-book stress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red-flag tier. Re-check on: 2-3 quarters of credit cost &lt;=2.5%, ROA crossing 3.0%, ROE holding mid-teens, and whether the unsecured/LAP stress spreads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2026-09-09T18:13:16.257Z</dcterms:created>
  <dcterms:modified xsi:type="dcterms:W3CDTF">2026-09-09T18:13:16.257Z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