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4E5F"/>
          <w:sz w:val="44"/>
          <w:szCs w:val="44"/>
        </w:rPr>
        <w:t xml:space="preserve">Oil India Ltd</w:t>
      </w:r>
    </w:p>
    <w:p>
      <w:pPr>
        <w:pBdr>
          <w:bottom w:val="single" w:color="CCCCCC" w:sz="6" w:space="8"/>
        </w:pBdr>
        <w:spacing w:after="200"/>
      </w:pPr>
      <w:r>
        <w:rPr>
          <w:i/>
          <w:iCs/>
          <w:color w:val="666666"/>
          <w:sz w:val="22"/>
          <w:szCs w:val="22"/>
        </w:rPr>
        <w:t xml:space="preserve">India's #2 upstream E&amp;P PSU - cheap, dividend-paying, leveraged to North-East gas monetisation and higher crude - but a ~Rs 80,000 Cr large-cap whose size and flattish production keep it well outside the 10x/100x mandate.</w:t>
      </w:r>
    </w:p>
    <w:p>
      <w:pPr>
        <w:pStyle w:val="Heading1"/>
        <w:spacing w:after="120" w:before="280"/>
      </w:pPr>
      <w:r>
        <w:t xml:space="preserve">Business Overview</w:t>
      </w:r>
    </w:p>
    <w:p>
      <w:pPr>
        <w:spacing w:after="120"/>
      </w:pPr>
      <w:r>
        <w:t xml:space="preserve">State-controlled upstream oil &amp; gas producer focused on Assam/Arunachal (North-East India) producing fields, with a crude &amp; product pipeline network, a stake in Numaligarh Refinery (NRL), city-gas and overseas assets. Seeded via the theme-scan 2026-09-09 (user-authorised 1x no-self-discovery bypass) under the oilfield-services / drilling &amp; exploration-capex theme. Like ONGC, it is a capex setter for the services chain rather than a levered proxy.</w:t>
      </w:r>
    </w:p>
    <w:p>
      <w:pPr>
        <w:pStyle w:val="Heading1"/>
        <w:spacing w:after="120" w:before="280"/>
      </w:pPr>
      <w:r>
        <w:t xml:space="preserve">Fundamentals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shd w:fill="F2F2F2" w:val="clear"/>
          </w:tcPr>
          <w:p>
            <w:r>
              <w:rPr>
                <w:b/>
                <w:bCs/>
              </w:rPr>
              <w:t xml:space="preserve">Market cap</w:t>
            </w:r>
          </w:p>
        </w:tc>
        <w:tc>
          <w:tcPr>
            <w:tcW w:type="dxa" w:w="5800"/>
          </w:tcPr>
          <w:p>
            <w:r>
              <w:t xml:space="preserve">~Rs 80,000 - 81,000 Cr (large-cap PSU)</w:t>
            </w:r>
          </w:p>
        </w:tc>
      </w:tr>
      <w:tr>
        <w:tc>
          <w:tcPr>
            <w:tcW w:type="dxa" w:w="3200"/>
            <w:shd w:fill="F2F2F2" w:val="clear"/>
          </w:tcPr>
          <w:p>
            <w:r>
              <w:rPr>
                <w:b/>
                <w:bCs/>
              </w:rPr>
              <w:t xml:space="preserve">52-week range</w:t>
            </w:r>
          </w:p>
        </w:tc>
        <w:tc>
          <w:tcPr>
            <w:tcW w:type="dxa" w:w="5800"/>
          </w:tcPr>
          <w:p>
            <w:r>
              <w:t xml:space="preserve">~Rs 385 - Rs 531</w:t>
            </w:r>
          </w:p>
        </w:tc>
      </w:tr>
      <w:tr>
        <w:tc>
          <w:tcPr>
            <w:tcW w:type="dxa" w:w="3200"/>
            <w:shd w:fill="F2F2F2" w:val="clear"/>
          </w:tcPr>
          <w:p>
            <w:r>
              <w:rPr>
                <w:b/>
                <w:bCs/>
              </w:rPr>
              <w:t xml:space="preserve">Revenue</w:t>
            </w:r>
          </w:p>
        </w:tc>
        <w:tc>
          <w:tcPr>
            <w:tcW w:type="dxa" w:w="5800"/>
          </w:tcPr>
          <w:p>
            <w:r>
              <w:t xml:space="preserve">TTM revenue ~Rs 21,200 Cr</w:t>
            </w:r>
          </w:p>
        </w:tc>
      </w:tr>
      <w:tr>
        <w:tc>
          <w:tcPr>
            <w:tcW w:type="dxa" w:w="3200"/>
            <w:shd w:fill="F2F2F2" w:val="clear"/>
          </w:tcPr>
          <w:p>
            <w:r>
              <w:rPr>
                <w:b/>
                <w:bCs/>
              </w:rPr>
              <w:t xml:space="preserve">ROCE / ROE</w:t>
            </w:r>
          </w:p>
        </w:tc>
        <w:tc>
          <w:tcPr>
            <w:tcW w:type="dxa" w:w="5800"/>
          </w:tcPr>
          <w:p>
            <w:r>
              <w:t xml:space="preserve">Mid-teens ROCE typical for the cycle; ROE low-double-digits</w:t>
            </w:r>
          </w:p>
        </w:tc>
      </w:tr>
      <w:tr>
        <w:tc>
          <w:tcPr>
            <w:tcW w:type="dxa" w:w="3200"/>
            <w:shd w:fill="F2F2F2" w:val="clear"/>
          </w:tcPr>
          <w:p>
            <w:r>
              <w:rPr>
                <w:b/>
                <w:bCs/>
              </w:rPr>
              <w:t xml:space="preserve">Debt</w:t>
            </w:r>
          </w:p>
        </w:tc>
        <w:tc>
          <w:tcPr>
            <w:tcW w:type="dxa" w:w="5800"/>
          </w:tcPr>
          <w:p>
            <w:r>
              <w:t xml:space="preserve">Moderate consolidated debt (NRL expansion, acquisitions); serviceable</w:t>
            </w:r>
          </w:p>
        </w:tc>
      </w:tr>
      <w:tr>
        <w:tc>
          <w:tcPr>
            <w:tcW w:type="dxa" w:w="3200"/>
            <w:shd w:fill="F2F2F2" w:val="clear"/>
          </w:tcPr>
          <w:p>
            <w:r>
              <w:rPr>
                <w:b/>
                <w:bCs/>
              </w:rPr>
              <w:t xml:space="preserve">Valuation</w:t>
            </w:r>
          </w:p>
        </w:tc>
        <w:tc>
          <w:tcPr>
            <w:tcW w:type="dxa" w:w="5800"/>
          </w:tcPr>
          <w:p>
            <w:r>
              <w:t xml:space="preserve">Low-single-digit to high-single-digit P/E through the cycle; ~5%+ dividend yield</w:t>
            </w:r>
          </w:p>
        </w:tc>
      </w:tr>
    </w:tbl>
    <w:p>
      <w:pPr>
        <w:spacing w:after="100"/>
      </w:pPr>
    </w:p>
    <w:p>
      <w:pPr>
        <w:spacing w:after="120"/>
      </w:pPr>
      <w:r>
        <w:t xml:space="preserve">A cheaper, smaller ONGC with a sharper North-East gas angle: the North East Gas Grid (Phase 1 inaugurated March 2026) and rising regional evacuation capacity should let Oil India monetise more Assam gas over the next few years, and NRL's refinery expansion adds downstream earnings. But it remains a ~Rs 80,000 Cr PSU with modest organic volume growth, windfall-tax exposure and government-driven capital allocation. Undemanding valuation and yield, not a compounding story.</w:t>
      </w:r>
    </w:p>
    <w:p>
      <w:pPr>
        <w:pStyle w:val="Heading1"/>
        <w:spacing w:after="120" w:before="280"/>
      </w:pPr>
      <w:r>
        <w:t xml:space="preserve">Technical Read (Weekly / Monthly MACD + Bollinger Bands, or RSI/CCI/Williams %R proxy)</w:t>
      </w:r>
    </w:p>
    <w:p>
      <w:pPr>
        <w:spacing w:after="120"/>
      </w:pPr>
      <w:r>
        <w:t xml:space="preserve">Not pulled - mid-range within a wide 52-week band; size math governs the verdict.</w:t>
      </w:r>
    </w:p>
    <w:p>
      <w:pPr>
        <w:pStyle w:val="Heading1"/>
        <w:spacing w:after="120" w:before="280"/>
      </w:pPr>
      <w:r>
        <w:t xml:space="preserve">ValuePickr Community Signal</w:t>
      </w:r>
    </w:p>
    <w:p>
      <w:pPr>
        <w:spacing w:after="120"/>
      </w:pPr>
      <w:r>
        <w:t xml:space="preserve">No dedicated Oil India ValuePickr thread resolved with confidence; the HOEC thread (topic 1581) references Oil India's DNPL/DFL pipeline decisions as a swing factor for North-East gas players. topic_slug left null; web/fundamentals-based assessment, appropriate for a covered large-cap PSU.</w:t>
      </w:r>
    </w:p>
    <w:p>
      <w:pPr>
        <w:spacing w:after="120"/>
      </w:pPr>
      <w:r>
        <w:rPr>
          <w:b/>
          <w:bCs/>
          <w:sz w:val="20"/>
          <w:szCs w:val="20"/>
        </w:rPr>
        <w:t xml:space="preserve">High-conviction call from a top contributor: </w:t>
      </w:r>
      <w:r>
        <w:rPr>
          <w:sz w:val="20"/>
          <w:szCs w:val="20"/>
        </w:rPr>
        <w:t xml:space="preserve">No trusted-user activity. Sector tenor: 'cheap, gas-grid optionality, windfall-tax and PSU discount'.</w:t>
      </w:r>
    </w:p>
    <w:p>
      <w:pPr>
        <w:pStyle w:val="Heading1"/>
        <w:spacing w:after="120" w:before="280"/>
      </w:pPr>
      <w:r>
        <w:t xml:space="preserve">BSE Corporate Actions / Other Red Flags</w:t>
      </w:r>
    </w:p>
    <w:p>
      <w:pPr>
        <w:spacing w:after="120"/>
      </w:pPr>
      <w:r>
        <w:t xml:space="preserve">No SEBI/fraud action. Windfall tax on domestic crude applies. DNPL pipeline recently designated a captive line for Oil India gas to Numaligarh; Duliajan Feeder Line to become a common carrier but ~18 months out - near-term evacuation is still a constraint on regional volumes.</w:t>
      </w:r>
    </w:p>
    <w:p>
      <w:pPr>
        <w:pStyle w:val="Heading1"/>
        <w:spacing w:after="120" w:before="280"/>
      </w:pPr>
      <w:r>
        <w:t xml:space="preserve">Bull Case</w:t>
      </w:r>
    </w:p>
    <w:p>
      <w:pPr>
        <w:pStyle w:val="ListParagraph"/>
        <w:numPr>
          <w:ilvl w:val="0"/>
          <w:numId w:val="1"/>
        </w:numPr>
        <w:spacing w:after="60"/>
      </w:pPr>
      <w:r>
        <w:t xml:space="preserve">Cheap (mid-single-digit through-cycle P/E), ~5%+ dividend yield</w:t>
      </w:r>
    </w:p>
    <w:p>
      <w:pPr>
        <w:pStyle w:val="ListParagraph"/>
        <w:numPr>
          <w:ilvl w:val="0"/>
          <w:numId w:val="1"/>
        </w:numPr>
        <w:spacing w:after="60"/>
      </w:pPr>
      <w:r>
        <w:t xml:space="preserve">North East Gas Grid + captive DNPL line should lift Assam gas monetisation over FY27-29</w:t>
      </w:r>
    </w:p>
    <w:p>
      <w:pPr>
        <w:pStyle w:val="ListParagraph"/>
        <w:numPr>
          <w:ilvl w:val="0"/>
          <w:numId w:val="1"/>
        </w:numPr>
        <w:spacing w:after="60"/>
      </w:pPr>
      <w:r>
        <w:t xml:space="preserve">NRL refinery expansion adds downstream earnings; overseas assets provide optionality</w:t>
      </w:r>
    </w:p>
    <w:p>
      <w:pPr>
        <w:pStyle w:val="ListParagraph"/>
        <w:numPr>
          <w:ilvl w:val="0"/>
          <w:numId w:val="1"/>
        </w:numPr>
        <w:spacing w:after="60"/>
      </w:pPr>
      <w:r>
        <w:t xml:space="preserve">Leverage to higher crude/gas prices</w:t>
      </w:r>
    </w:p>
    <w:p>
      <w:pPr>
        <w:pStyle w:val="Heading1"/>
        <w:spacing w:after="120" w:before="280"/>
      </w:pPr>
      <w:r>
        <w:t xml:space="preserve">Bear Case / Key Risks</w:t>
      </w:r>
    </w:p>
    <w:p>
      <w:pPr>
        <w:pStyle w:val="ListParagraph"/>
        <w:numPr>
          <w:ilvl w:val="0"/>
          <w:numId w:val="1"/>
        </w:numPr>
        <w:spacing w:after="60"/>
      </w:pPr>
      <w:r>
        <w:t xml:space="preserve">~Rs 80,000 Cr market cap - 10x/100x is arithmetically out of reach</w:t>
      </w:r>
    </w:p>
    <w:p>
      <w:pPr>
        <w:pStyle w:val="ListParagraph"/>
        <w:numPr>
          <w:ilvl w:val="0"/>
          <w:numId w:val="1"/>
        </w:numPr>
        <w:spacing w:after="60"/>
      </w:pPr>
      <w:r>
        <w:t xml:space="preserve">Organic production growth modest; reserve replacement a perennial issue</w:t>
      </w:r>
    </w:p>
    <w:p>
      <w:pPr>
        <w:pStyle w:val="ListParagraph"/>
        <w:numPr>
          <w:ilvl w:val="0"/>
          <w:numId w:val="1"/>
        </w:numPr>
        <w:spacing w:after="60"/>
      </w:pPr>
      <w:r>
        <w:t xml:space="preserve">Windfall tax caps crude-spike upside; PSU capital allocation (subsidy sharing, NRL funding)</w:t>
      </w:r>
    </w:p>
    <w:p>
      <w:pPr>
        <w:pStyle w:val="ListParagraph"/>
        <w:numPr>
          <w:ilvl w:val="0"/>
          <w:numId w:val="1"/>
        </w:numPr>
        <w:spacing w:after="60"/>
      </w:pPr>
      <w:r>
        <w:t xml:space="preserve">Near-term North-East gas volumes still evacuation-constrained (DFL ~18 months away)</w:t>
      </w:r>
    </w:p>
    <w:p>
      <w:pPr>
        <w:pStyle w:val="Heading1"/>
        <w:spacing w:after="120" w:before="280"/>
      </w:pPr>
      <w:r>
        <w:t xml:space="preserve">Market-Cap Tier (informational — not a gate in this project)</w:t>
      </w:r>
    </w:p>
    <w:p>
      <w:pPr>
        <w:spacing w:after="120"/>
      </w:pPr>
      <w:r>
        <w:rPr>
          <w:b/>
          <w:bCs/>
        </w:rPr>
        <w:t xml:space="preserve">Large-cap (~Rs 80,000 Cr)</w:t>
      </w:r>
    </w:p>
    <w:p>
      <w:pPr>
        <w:pStyle w:val="Heading1"/>
        <w:spacing w:after="120" w:before="280"/>
      </w:pPr>
      <w:r>
        <w:t xml:space="preserve">Thesis Fit</w:t>
      </w:r>
    </w:p>
    <w:p>
      <w:pPr>
        <w:spacing w:after="120"/>
      </w:pPr>
      <w:r>
        <w:rPr>
          <w:b/>
          <w:bCs/>
          <w:sz w:val="24"/>
          <w:szCs w:val="24"/>
        </w:rPr>
        <w:t xml:space="preserve">neither</w:t>
      </w:r>
    </w:p>
    <w:p>
      <w:pPr>
        <w:spacing w:after="120"/>
      </w:pPr>
      <w:r>
        <w:rPr>
          <w:color w:val="666666"/>
          <w:sz w:val="20"/>
          <w:szCs w:val="20"/>
        </w:rPr>
        <w:t xml:space="preserve">4-box gate — tailwind: weak · TAM: no · moat: yes · valuation: yes  (score 2.5 / 4)</w:t>
      </w:r>
    </w:p>
    <w:p>
      <w:pPr>
        <w:spacing w:after="120"/>
      </w:pPr>
      <w:r>
        <w:rPr>
          <w:i/>
          <w:iCs/>
          <w:color w:val="666666"/>
          <w:sz w:val="20"/>
          <w:szCs w:val="20"/>
        </w:rPr>
        <w:t xml:space="preserve">tam = no on large-cap size (~Rs 80,000 Cr); tailwind weak - North-East gas monetisation is incremental and evacuation-gated. Integrated North-East moat and cheap valuation are real but no named inflection to move the label off 'neither'.</w:t>
      </w:r>
    </w:p>
    <w:p>
      <w:pPr>
        <w:pStyle w:val="Heading1"/>
        <w:spacing w:after="120" w:before="280"/>
      </w:pPr>
      <w:r>
        <w:t xml:space="preserve">Verdict</w:t>
      </w:r>
    </w:p>
    <w:p>
      <w:pPr>
        <w:spacing w:after="120"/>
      </w:pPr>
      <w:r>
        <w:rPr>
          <w:b/>
          <w:bCs/>
          <w:sz w:val="24"/>
          <w:szCs w:val="24"/>
        </w:rPr>
        <w:t xml:space="preserve">Cheap North-East-gas-levered upstream PSU with real grid-driven monetisation optionality, but a large-cap with flattish volumes and no named structural inflection - size math makes 'neither' the honest call. Conviction Low-Medium.</w:t>
      </w:r>
    </w:p>
    <w:p>
      <w:pPr>
        <w:pStyle w:val="ListParagraph"/>
        <w:numPr>
          <w:ilvl w:val="0"/>
          <w:numId w:val="1"/>
        </w:numPr>
        <w:spacing w:after="60"/>
      </w:pPr>
      <w:r>
        <w:t xml:space="preserve">four_box: tailwind weak (North-East gas-grid monetisation and higher prices are real but incremental and partly evacuation-gated; not a structural growth engine), tam no (genuine large-cap ~Rs 80,000 Cr - cannot deliver the required multiple), moat yes (dominant North-East acreage, integrated pipeline + NRL stake), valuation yes (mid-single-digit P/E, ~5%+ yield - thesis not priced in) -&gt; score 2.5</w:t>
      </w:r>
    </w:p>
    <w:p>
      <w:pPr>
        <w:pStyle w:val="ListParagraph"/>
        <w:numPr>
          <w:ilvl w:val="0"/>
          <w:numId w:val="1"/>
        </w:numPr>
        <w:spacing w:after="60"/>
      </w:pPr>
      <w:r>
        <w:t xml:space="preserve">Score 2.0-2.5: valuation box = yes technically permits a label, but this is a genuine large-cap and the gas-grid ramp is an incremental volume story, not a specific named management/structural inflection of the kind the large-cap exception requires. Label kept 'neither'.</w:t>
      </w:r>
    </w:p>
    <w:p>
      <w:pPr>
        <w:pStyle w:val="ListParagraph"/>
        <w:numPr>
          <w:ilvl w:val="0"/>
          <w:numId w:val="1"/>
        </w:numPr>
        <w:spacing w:after="60"/>
      </w:pPr>
      <w:r>
        <w:t xml:space="preserve">Conviction Low-Medium: valuation, yield and a credible (if gated) North-East gas catalyst put it above Low; size, flattish volumes and PSU constraints keep it below Medium</w:t>
      </w:r>
    </w:p>
    <w:p>
      <w:pPr>
        <w:pStyle w:val="ListParagraph"/>
        <w:numPr>
          <w:ilvl w:val="0"/>
          <w:numId w:val="1"/>
        </w:numPr>
        <w:spacing w:after="60"/>
      </w:pPr>
      <w:r>
        <w:t xml:space="preserve">Seeded via oilfield-services / drilling &amp; exploration-capex theme (external lead, user-authorised bypass); Oil India is a capex setter at the head of the chain, not a levered proxy; no value_chain block (position self-evident)</w:t>
      </w:r>
    </w:p>
    <w:p>
      <w:pPr>
        <w:pStyle w:val="ListParagraph"/>
        <w:numPr>
          <w:ilvl w:val="0"/>
          <w:numId w:val="1"/>
        </w:numPr>
        <w:spacing w:after="60"/>
      </w:pPr>
      <w:r>
        <w:t xml:space="preserve">No red flag tier (solvent, profitable, dividend-paying PSU)</w:t>
      </w:r>
    </w:p>
    <w:p>
      <w:pPr>
        <w:pBdr>
          <w:top w:val="single" w:color="CCCCCC" w:sz="6" w:space="8"/>
        </w:pBdr>
        <w:spacing w:before="300"/>
      </w:pPr>
      <w:r>
        <w:rPr>
          <w:i/>
          <w:iCs/>
          <w:color w:val="666666"/>
          <w:sz w:val="18"/>
          <w:szCs w:val="18"/>
        </w:rPr>
        <w:t xml:space="preserve">This is independent research and analysis for informational purposes only, not personalized financial or investment advice. Past multi-bagger performance and forum/social sentiment are not indicators of future returns. Do your own due diligence before investing.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2026-09-10T03:29:27.045Z</dcterms:created>
  <dcterms:modified xsi:type="dcterms:W3CDTF">2026-09-10T03:29:27.046Z</dcterms:modified>
</cp:coreProperties>
</file>

<file path=docProps/custom.xml><?xml version="1.0" encoding="utf-8"?>
<Properties xmlns="http://schemas.openxmlformats.org/officeDocument/2006/custom-properties" xmlns:vt="http://schemas.openxmlformats.org/officeDocument/2006/docPropsVTypes"/>
</file>