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Oval Projects Engineering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Rs ~110 Cr BSE-SME oil &amp; gas infrastructure EPC and O&amp;M contractor -- FY26 revenue +50%, PAT +59%, ROCE ~23%, a ~Rs 780 Cr order book (~5x sales) and a ~10x multiple -- but competitive-bid EPC is a low-moat, working-capital-heavy model with no listed track record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Oval Projects Engineering (BSE-SME, IPO Aug-Sep 2025) executes EPC and O&amp;M for the oil &amp; gas sector -- upstream/midstream/downstream facility development: processing plants, pipeline laying, horizontal directional drilling, terminal stations, city-gas-distribution (CGD) work, and O&amp;M of PNG networks -- plus some specialised infrastructure/civil projects.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110 Cr (micro-cap / BSE-SME)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~20.8% / ~22.8%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</w:t>
            </w:r>
          </w:p>
        </w:tc>
        <w:tc>
          <w:tcPr>
            <w:tcW w:type="dxa" w:w="5800"/>
          </w:tcPr>
          <w:p>
            <w:r>
              <w:t xml:space="preserve">~Rs 153 Cr, +50% YoY (FY25 ~Rs 102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PAT</w:t>
            </w:r>
          </w:p>
        </w:tc>
        <w:tc>
          <w:tcPr>
            <w:tcW w:type="dxa" w:w="5800"/>
          </w:tcPr>
          <w:p>
            <w:r>
              <w:t xml:space="preserve">~Rs 14.8 Cr, +59% YoY (FY25 ~Rs 9.3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780 Cr (~5x FY26 revenue)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~10x on FY26 PAT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On the surface this ticks a lot of boxes -- ~50% revenue growth, ~23% ROCE, a 5x order-book cover, and a cheap ~10x multiple. The offsetting reality is model quality: competitive-bid oil &amp; gas EPC/O&amp;M has no pricing power, is working-capital and mobilisation-cash-intensive, carries execution and client-concentration risk, and is exposed to the lumpiness of CGD and pipeline award cycles. It is a freshly listed BSE-SME with one year of public numbers and a low-quality (untrusted X) origination.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Oilfield services / drilling &amp; exploration capex (upstream E&amp;P activity uptick)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EPC + O&amp;M services layer -- builds and maintains oil &amp; gas facilities, pipelines, terminals and CGD/PNG networks; downstream of equipment and upstream of the asset owner (ONGC/GAIL/CGD entities)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Benefits from domestic gas-infrastructure and CGD capex more directly than from the global upstream-drilling cycle the theme's bellwethers track.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newly listed SME.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(categories 11/14/17 search returned nothing relevant) -- topic_slug null; research is filings / web based.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coverage. Untrusted X-triage lead (@BeatTheStreet10).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Listed via BSE-SME IPO in Aug-Sep 2025; no meaningful corporate-action history. Standard SME liquidity / disclosure caveats apply.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Exposure to the priority-2 oilfield-services / upstream-capex theme plus domestic CGD / pipeline / PNG O&amp;M build-out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780 Cr order book (~5x FY26 revenue) gives multi-year revenue visibility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FY26 growth (revenue +50%, PAT +59%) with ROCE ~23%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on trailing earnings (~10x)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Competitive-bid EPC / O&amp;M -- no pricing power, thin structural margins, working-capital and mobilisation-cash heavy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Order-book-to-revenue conversion and receivables are the key risks and are unproven as a listed company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Award cycles (CGD, pipelines) are lumpy and policy-dependent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year of public numbers; thin BSE-SME float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lead; no community or trusted validation; oilfield-services theme still pending a formal bellwether read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110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yes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tailwind=weak (priority-2 oilfield/CGD-capex theme, pending bellwether read; steady not accelerating). tam=weak (EPC/O&amp;M contracting niche). moat=no (competitive bid, no pricing power). valuation=yes (~10x FY26 earnings, ~50% growth, ~5x order-book cover -- genuinely cheap). Score 2.0 with the valuation-box-yes written exception -&gt; return-magnitude label permitted, conviction capped at Medium.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cheap, order-book-backed oil &amp; gas EPC micro-cap with a strong first listed year -- return-magnitude label allowed on the valuation-box exception; conviction Low-Medium,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Live-theme match: priority-2 'Oilfield services / drilling &amp; exploration capex' (keywords EPC-adjacent oil &amp; gas, pipeline, upstream/midstream/downstream) -- a re-ranking theme pending a formal Stage A4 bellwether read, so this is a theme-tagged pass, not a high-conviction theme play.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Written exception (four_box score 2.0): the valuation box is 'yes' -- ~10x FY26 earnings for a business growing ~50% with a ~5x order-book cover is genuinely cheap -- and that plus the order-book-backed growth justifies a '10x-in-2-3-years' label under the score-2.0 exception; conviction is capped at Medium and set Low-Medium 'unconfirmed' because competitive-bid EPC is low-moat, working-capital-heavy and has only one listed year.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marked revisit_after_30d (conviction below Medium-High). Re-check after two quarters: order-book conversion, receivable/WIP days, margin stability, and any client concentration disclosed. Also fold in the oilfield-services bellwether read when global-proxy-scan completes it.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2026-09-09T13:51:42.312Z</dcterms:created>
  <dcterms:modified xsi:type="dcterms:W3CDTF">2026-09-09T13:51:42.313Z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