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Pix Transmissions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 niche industrial-belt exporter with a real EV two-wheeler catalyst, but the most recent quarter weakened and a trusted tracker has already exited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Pix Transmissions manufactures rubber transmission belts (V-belts, timing belts) for industrial and, increasingly, EV two-wheeler after-market applications, with a significant export book (80+ countries) and a top-7 global position in its category.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2,474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26.90% / 7.49% (ROE weak relative to ROCE)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Rs 610 Cr, Profit Rs 132 Cr; 5-yr revenue growth a weak 8.90%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Reduced, almost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1,225 - 1,717.6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ROCE (26.9%) is strong but ROE (7.49%) lags, and 5-year revenue growth (8.9%) has been genuinely weak -- most of the stock's ~4x move since 2020 has been P/E expansion, not sales growth, per the community's own math. The most recent quarter on record (Q4FY26, May 2026) showed sales +5% YoY but EBITDA -8% and PAT -11% YoY -- a real recent-quarter deceleration, not just a trailing-average issue.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1746 · 18x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~18x trailing on a debt-free ~22% ROCE niche belt exporter prices in a return to low-teens earnings growth; the 5-yr revenue CAGR has been only ~9% and Q4 FY26 printed EBITDA -8% / PAT -11% YoY, so the EV two-wheeler after-market belt catalyst has to actually move the topline to justify even this modest multiple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640-680 Cr (+5-12%), OPM ~22-24%, PAT ~Rs 130-150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~Rs 720-800 Cr if the EV-belt after-market scales, PAT ~Rs 150-175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timing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18x on a high-ROCE but slow-growing (~9% 5-yr CAGR) belt exporter whose most recent quarter decelerated (EBITDA -8%, PAT -11% YoY). The EV two-wheeler after-market belt opportunity is real optionality not yet visible in reported revenue; recurring management-transparency complaints add a discount.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22%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-0.3x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60%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4 of the last 8 years (consistency_score 50)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FY19-FY26 screener consolidated. Both revenue growth &gt;=10% AND ROCE &gt;=15% in the same FY: FY19, FY21, FY22, FY25. ROCE has been consistently strong (19-27% since FY21), so the binding fail is revenue growth - the 5-yr sales CAGR is only ~9% and FY20 (+3%), FY23 (+8%), FY24 (+1%) and FY26 (+5%) all missed the growth bar.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311 posts (Dec 2022-Aug 2026, no escalation needed). A genuine EV two-wheeler catalyst emerged in the community discussion from Jan 2025 (after-market belts for Ola/Ather EVs, priced ~Rs 3,500 each) alongside broader 2W-EV belt-drive adoption tailwinds (HDFC Securities report cited, Apr 2025). But management-transparency complaints recur throughout (no remote AGM access, sparse investor communication, no AGM notes shared for two consecutive years by mid-2025), and the most recent quarter reported (May 2026) showed a real earnings deceleration.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akash8844 (trusted, elevated) was actively tracking, posting a bullish note in Nov 2024 (love=12) but flagging the Q4FY26 earnings weakness directly in May 2026 (love=14: 'sales up 5% YoY, but EBITDA down 8% and PAT down 11%'). Amnesiac (trusted, elevated) exited in Feb 2026 ('booked profits and moved on') after struggling to get management transparency (AGM notes).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2026-05-23 — akash8844</w:t>
      </w:r>
      <w:r>
        <w:rPr>
          <w:i/>
          <w:iCs/>
          <w:color w:val="666666"/>
          <w:sz w:val="18"/>
          <w:szCs w:val="18"/>
        </w:rPr>
        <w:t xml:space="preserve"> (Pix Transmission - low profile smallcap company)</w:t>
      </w:r>
      <w:r>
        <w:rPr>
          <w:sz w:val="20"/>
          <w:szCs w:val="20"/>
        </w:rPr>
        <w:br/>
        <w:t xml:space="preserve">: post #352: flagged Q4FY26 results as weak on a close read (sales +5% YoY but EBITDA -8%, PAT -11% YoY) despite the EV two-wheeler narrative remaining intact.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2026-02-10 — Amnesiac</w:t>
      </w:r>
      <w:r>
        <w:rPr>
          <w:i/>
          <w:iCs/>
          <w:color w:val="666666"/>
          <w:sz w:val="18"/>
          <w:szCs w:val="18"/>
        </w:rPr>
        <w:t xml:space="preserve"> (Pix Transmission - low profile smallcap company)</w:t>
      </w:r>
      <w:r>
        <w:rPr>
          <w:sz w:val="20"/>
          <w:szCs w:val="20"/>
        </w:rPr>
        <w:br/>
        <w:t xml:space="preserve">: post #351: 'No luck [getting AGM notes]. I booked profits and moved on.' -- an exit driven by management-transparency frustration.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Genuine, real (not just narrative) EV two-wheeler after-market belt opportunity (Ola/Ather), with broader industry tailwinds toward belt-drive 2W-EVs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Strong ROCE (26.9%) and a debt-reduced balance sheet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Small-cap size (Rs 2,474 Cr) does not by itself preclude a multibagger outcome if the EV catalyst scales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Most recent quarter (Q4FY26) showed a real deceleration -- EBITDA -8%, PAT -11% YoY -- flagged directly by a trusted tracker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5-year revenue growth (8.9%) has been genuinely weak; most of the stock's re-rating has been multiple expansion, not fundamentals, per the community's own analysis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Persistent management-transparency complaints (no remote AGM, no shared AGM notes for 2+ years) are a real governance/communication weakness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trusted tracker has already exited specifically citing this opacity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2,474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Verdict explicit: 'EV two-wheeler after-market opportunity is genuine, not hype' (tailwind=yes); but Q4FY26 declining EBITDA/PAT and a trusted user's opacity-driven exit undercut moat; no tam/valuation detail.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real EV-belt catalyst exists, but the most recent quarter weakened and a trusted tracker already exited over management opacity -- not the right entry point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EV two-wheeler after-market opportunity is genuine, not hype, but the most recent quarter (Q4FY26) actively contradicts the growth narrative with declining EBITDA/PAT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formal red flag, but weak recent-quarter momentum plus a trusted user's opacity-driven exit is enough negative signal to filter out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Worth revisiting if a subsequent quarter shows the EV catalyst actually moving the topline, and if management communication improves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2026-09-09T18:45:04.504Z</dcterms:created>
  <dcterms:modified xsi:type="dcterms:W3CDTF">2026-09-09T18:45:04.504Z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