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Prevest Denpro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High-margin dental products compounder undercut by a community-flagged governance red flag on management pay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Prevest Denpro manufactures dental restorative and consumable products, competing against MNC brands (3M, Shofu, Ivoclar) at a lower price point, with a domestic and growing international footprint.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20.08%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39.8%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(FY25-26)</w:t>
            </w:r>
          </w:p>
        </w:tc>
        <w:tc>
          <w:tcPr>
            <w:tcW w:type="dxa" w:w="5800"/>
          </w:tcPr>
          <w:p>
            <w:r>
              <w:t xml:space="preserve">+13.6%; EBITDA +16.6%, PAT +17.6%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Stock down ~34.6% from 52-week high, up ~27.9% from 52-week low as of Aug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35%+ EBITDA margins, high ROE, cash-rich, consistent growth -- fundamentally an attractive small-cap compounder with a long runway (per community scuttlebutt, strong dentist-level brand loyalty even in smaller cities). The catch surfaced entirely in the community thread rather than the numbers.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387 · 20.6x P/E · 13x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~21x trailing earnings for a debt-free ~25% ROCE dental-consumables maker; against a ~20-24x exit this needs only ~12-15% EPS CAGR to be fair -- roughly the rate the company has delivered, so the multiple prices continuation, not acceleration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+13-16% (domestic + international), OPM ~36%, PAT +15-18%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similar low-to-mid-teens compounding unless the international / OEM push accelerates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~21x with ~13-14% revenue growth the multiple already reflects the steady-compounder profile; the rising directors' remuneration (~23% of PAT) and a related-party marketing hire are governance drags that argue against paying up for an acceleration that is not visible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7 of the last 7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(FY20-FY26): every year cleared both &gt;=10% revenue growth and &gt;=15% ROCE -- revenue +12-36% and ROCE 25-47% throughout on a debt-free base with 35-40% OPM. A genuine high-quality small-cap consistency record; the governance flag (directors' pay ~23% of PAT, rising) is separate from the mechanical track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205 posts (single batch, no escalation). Thread sentiment shifted materially in the most recent posts: a detailed, well-received (6 loves) post from a longtime follower explained why they ultimately rejected Prevest as an investment despite strong initial impressions.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pranavpallod12 (6 loves, Aug 2026) wrote a detailed post citing directors' remuneration at 23% of PAT -- and rising -- as the 'first huge RED FLAG' that changed their view after scuttlebutt research had been positive; also referenced a well-paid marketing executive who is the promoter's son-in-law. Axay_shah (Jun 2026, citing another user Adhiraj) corroborated increasing marketing-driven spend and management remuneration concerns. Ankitshah789 (Aug 2026) agreed on the management-pay concern but still sees unique business opportunity domestically and internationally.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35%+ EBITDA margins, ~20% ROE, cash-rich and nearly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double-digit growth (FY25-26: revenue +13.6%, PAT +17.6%) with a long domestic and international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scuttlebutt (dentist-level checks) found genuine, organic brand loyalty even in smaller Indian cities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Directors' remuneration at 23% of PAT and rising -- a real, quantified governance red flag independently flagged and well-received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senior, well-paid marketing hire is reported to be the promoter's son-in-law, adding a related-party/nepotism concern on top of the pay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 member who did the deepest fundamental + scuttlebutt work on this name ultimately rejected it as an investment specifically because of this governance issue, not the business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Long domestic/international runway + genuine dentist-level brand loyalty in smaller cities is a real structural tailwind; consistent double-digit growth (FY25-26 revenue+13.6%/PAT+17.6%) on a small (~Rs484cr) cash-rich base supports tam; no distinct competitive moat described beyond brand loyalty — weak; directors' remuneration at 23%-of-PAT-and-rising (with a related-party marketing hire) is a real governance concern that caused an engaged community member to reject the stock outright — valuation marked weak given this unresolved flag.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 economics, but a real and rising related-party governance flag caps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alone (margins, ROE, growth, balance sheet) would support a strong small-cap compounder case fitting the 10x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 specific, quantified governance concern (23% of PAT to directors, rising, with a related-party marketing hire) was independently identified and taken seriously enough by an engaged community member to reject the stock outright -- this is exactly the kind of red flag community threads exist to surface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applied (not AVOID/EXCLUDE-level), but conviction is held down meaningfully by this governance concern rather than treated as a minor caveat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2026-09-09T18:20:29.955Z</dcterms:created>
  <dcterms:modified xsi:type="dcterms:W3CDTF">2026-09-09T18:20:29.956Z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