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Rajesh Exports Ltd</w:t>
      </w:r>
    </w:p>
    <w:p>
      <w:pPr>
        <w:pBdr>
          <w:bottom w:val="single" w:color="CCCCCC" w:sz="6" w:space="8"/>
        </w:pBdr>
        <w:spacing w:after="200"/>
      </w:pPr>
      <w:r>
        <w:rPr>
          <w:i/>
          <w:iCs/>
          <w:color w:val="666666"/>
          <w:sz w:val="22"/>
          <w:szCs w:val="22"/>
        </w:rPr>
        <w:t xml:space="preserve">Once India's largest gold-jewellery exporter and owner of Valcambi (Swiss refiner) -- now under a SEBI interim order alleging ~Rs 15 lakh crore of unverifiable revenue; an EXCLUDE red flag</w:t>
      </w:r>
    </w:p>
    <w:p>
      <w:pPr>
        <w:shd w:fill="FFF0F0" w:val="clear"/>
        <w:spacing w:after="200"/>
      </w:pPr>
      <w:r>
        <w:rPr>
          <w:b/>
          <w:bCs/>
          <w:color w:val="6B2020"/>
          <w:sz w:val="22"/>
          <w:szCs w:val="22"/>
        </w:rPr>
        <w:t xml:space="preserve">RED FLAG TIER: EXCLUDE — </w:t>
      </w:r>
      <w:r>
        <w:rPr>
          <w:sz w:val="20"/>
          <w:szCs w:val="20"/>
        </w:rPr>
        <w:t xml:space="preserve">Active SEBI interim order (3 June 2026) alleging ~Rs 15.15 lakh crore of unverifiable revenue FY21-FY25; forensic auditor denied access to ERP and books.</w:t>
      </w:r>
    </w:p>
    <w:p>
      <w:pPr>
        <w:pStyle w:val="Heading1"/>
        <w:spacing w:after="120" w:before="280"/>
      </w:pPr>
      <w:r>
        <w:t xml:space="preserve">Business Overview</w:t>
      </w:r>
    </w:p>
    <w:p>
      <w:pPr>
        <w:spacing w:after="120"/>
      </w:pPr>
      <w:r>
        <w:t xml:space="preserve">Rajesh Exports is a Bengaluru-based gold-jewellery manufacturer and exporter that, through overseas subsidiaries (notably Valcambi in Switzerland), reported one of the largest toplines of any Indian listed company. On 3 June 2026 SEBI passed a 109-page interim order alleging that ~Rs 15.15 lakh crore of the Rs 15.45 lakh crore revenue booked FY21-FY25 could not be independently verified, that 97-99% of revenue sat in overseas subsidiaries, and that forensic auditor BDO India was denied access to the ERP system and books.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2,450 Cr (collapsed from a peak far above this)</w:t>
            </w:r>
          </w:p>
        </w:tc>
      </w:tr>
      <w:tr>
        <w:tc>
          <w:tcPr>
            <w:tcW w:type="dxa" w:w="3200"/>
            <w:shd w:fill="F2F2F2" w:val="clear"/>
          </w:tcPr>
          <w:p>
            <w:r>
              <w:rPr>
                <w:b/>
                <w:bCs/>
              </w:rPr>
              <w:t xml:space="preserve">Reported revenue</w:t>
            </w:r>
          </w:p>
        </w:tc>
        <w:tc>
          <w:tcPr>
            <w:tcW w:type="dxa" w:w="5800"/>
          </w:tcPr>
          <w:p>
            <w:r>
              <w:t xml:space="preserve">~Rs 7.79 lakh cr FY26 headline -- the subject of the SEBI dispute</w:t>
            </w:r>
          </w:p>
        </w:tc>
      </w:tr>
      <w:tr>
        <w:tc>
          <w:tcPr>
            <w:tcW w:type="dxa" w:w="3200"/>
            <w:shd w:fill="F2F2F2" w:val="clear"/>
          </w:tcPr>
          <w:p>
            <w:r>
              <w:rPr>
                <w:b/>
                <w:bCs/>
              </w:rPr>
              <w:t xml:space="preserve">ROE (3-yr)</w:t>
            </w:r>
          </w:p>
        </w:tc>
        <w:tc>
          <w:tcPr>
            <w:tcW w:type="dxa" w:w="5800"/>
          </w:tcPr>
          <w:p>
            <w:r>
              <w:t xml:space="preserve">~1.2% -- negligible despite the enormous reported topline</w:t>
            </w:r>
          </w:p>
        </w:tc>
      </w:tr>
      <w:tr>
        <w:tc>
          <w:tcPr>
            <w:tcW w:type="dxa" w:w="3200"/>
            <w:shd w:fill="F2F2F2" w:val="clear"/>
          </w:tcPr>
          <w:p>
            <w:r>
              <w:rPr>
                <w:b/>
                <w:bCs/>
              </w:rPr>
              <w:t xml:space="preserve">Debt</w:t>
            </w:r>
          </w:p>
        </w:tc>
        <w:tc>
          <w:tcPr>
            <w:tcW w:type="dxa" w:w="5800"/>
          </w:tcPr>
          <w:p>
            <w:r>
              <w:t xml:space="preserve">Reported almost debt-free</w:t>
            </w:r>
          </w:p>
        </w:tc>
      </w:tr>
      <w:tr>
        <w:tc>
          <w:tcPr>
            <w:tcW w:type="dxa" w:w="3200"/>
            <w:shd w:fill="F2F2F2" w:val="clear"/>
          </w:tcPr>
          <w:p>
            <w:r>
              <w:rPr>
                <w:b/>
                <w:bCs/>
              </w:rPr>
              <w:t xml:space="preserve">Stock price</w:t>
            </w:r>
          </w:p>
        </w:tc>
        <w:tc>
          <w:tcPr>
            <w:tcW w:type="dxa" w:w="5800"/>
          </w:tcPr>
          <w:p>
            <w:r>
              <w:t xml:space="preserve">Fell to ~Rs 104 on BSE, ~54% below the 52-week high of ~Rs 239 (Dec 2025)</w:t>
            </w:r>
          </w:p>
        </w:tc>
      </w:tr>
    </w:tbl>
    <w:p>
      <w:pPr>
        <w:spacing w:after="100"/>
      </w:pPr>
    </w:p>
    <w:p>
      <w:pPr>
        <w:spacing w:after="120"/>
      </w:pPr>
      <w:r>
        <w:t xml:space="preserve">The headline scale (fourth-largest Indian company by reported sales) has never translated into returns -- ROE ~1% -- which is itself a tell. The June 2026 SEBI interim order is an active regulatory action alleging revenue misrepresentation on an extraordinary scale, with the forensic auditor locked out of the accounting systems. Until that is resolved the reported financials cannot be relied upon.</w:t>
      </w:r>
    </w:p>
    <w:p>
      <w:pPr>
        <w:pStyle w:val="Heading1"/>
        <w:spacing w:after="120" w:before="280"/>
      </w:pPr>
      <w:r>
        <w:t xml:space="preserve">Technical Read (Weekly / Monthly MACD + Bollinger Bands, or RSI/CCI/Williams %R proxy)</w:t>
      </w:r>
    </w:p>
    <w:p>
      <w:pPr>
        <w:spacing w:after="120"/>
      </w:pPr>
      <w:r>
        <w:t xml:space="preserve">Not pulled. Price in a structural decline since Dec 2025.</w:t>
      </w:r>
    </w:p>
    <w:p>
      <w:pPr>
        <w:pStyle w:val="Heading1"/>
        <w:spacing w:after="120" w:before="280"/>
      </w:pPr>
      <w:r>
        <w:t xml:space="preserve">ValuePickr Community Signal</w:t>
      </w:r>
    </w:p>
    <w:p>
      <w:pPr>
        <w:spacing w:after="120"/>
      </w:pPr>
      <w:r>
        <w:t xml:space="preserve">Legacy ValuePickr thread (topic 390, 'time to examine this story seriously') predates the order; no current constructive thesis survives the SEBI action.</w:t>
      </w:r>
    </w:p>
    <w:p>
      <w:pPr>
        <w:spacing w:after="120"/>
      </w:pPr>
      <w:r>
        <w:rPr>
          <w:b/>
          <w:bCs/>
          <w:sz w:val="20"/>
          <w:szCs w:val="20"/>
        </w:rPr>
        <w:t xml:space="preserve">High-conviction call from a top contributor: </w:t>
      </w:r>
      <w:r>
        <w:rPr>
          <w:sz w:val="20"/>
          <w:szCs w:val="20"/>
        </w:rPr>
        <w:t xml:space="preserve">No trusted-user buy conviction. The name is now a governance case study.</w:t>
      </w:r>
    </w:p>
    <w:p>
      <w:pPr>
        <w:pStyle w:val="Heading1"/>
        <w:spacing w:after="120" w:before="280"/>
      </w:pPr>
      <w:r>
        <w:t xml:space="preserve">BSE Corporate Actions / Other Red Flags</w:t>
      </w:r>
    </w:p>
    <w:p>
      <w:pPr>
        <w:spacing w:after="120"/>
      </w:pPr>
      <w:r>
        <w:t xml:space="preserve">SEBI interim order dated 3 June 2026 -- active regulatory action alleging ~Rs 15.15 lakh crore of unverifiable revenue FY21-FY25; forensic auditor (BDO India) denied access to ERP and books of account.</w:t>
      </w:r>
    </w:p>
    <w:p>
      <w:pPr>
        <w:pStyle w:val="Heading1"/>
        <w:spacing w:after="120" w:before="280"/>
      </w:pPr>
      <w:r>
        <w:t xml:space="preserve">Bull Case</w:t>
      </w:r>
    </w:p>
    <w:p>
      <w:pPr>
        <w:pStyle w:val="ListParagraph"/>
        <w:numPr>
          <w:ilvl w:val="0"/>
          <w:numId w:val="1"/>
        </w:numPr>
        <w:spacing w:after="60"/>
      </w:pPr>
      <w:r>
        <w:t xml:space="preserve">None that can be underwritten while the SEBI action and forensic audit are unresolved</w:t>
      </w:r>
    </w:p>
    <w:p>
      <w:pPr>
        <w:pStyle w:val="Heading1"/>
        <w:spacing w:after="120" w:before="280"/>
      </w:pPr>
      <w:r>
        <w:t xml:space="preserve">Bear Case / Key Risks</w:t>
      </w:r>
    </w:p>
    <w:p>
      <w:pPr>
        <w:pStyle w:val="ListParagraph"/>
        <w:numPr>
          <w:ilvl w:val="0"/>
          <w:numId w:val="1"/>
        </w:numPr>
        <w:spacing w:after="60"/>
      </w:pPr>
      <w:r>
        <w:t xml:space="preserve">Active SEBI interim order alleging revenue misrepresentation on an unprecedented scale</w:t>
      </w:r>
    </w:p>
    <w:p>
      <w:pPr>
        <w:pStyle w:val="ListParagraph"/>
        <w:numPr>
          <w:ilvl w:val="0"/>
          <w:numId w:val="1"/>
        </w:numPr>
        <w:spacing w:after="60"/>
      </w:pPr>
      <w:r>
        <w:t xml:space="preserve">Forensic auditor denied access to the company's own accounting systems</w:t>
      </w:r>
    </w:p>
    <w:p>
      <w:pPr>
        <w:pStyle w:val="ListParagraph"/>
        <w:numPr>
          <w:ilvl w:val="0"/>
          <w:numId w:val="1"/>
        </w:numPr>
        <w:spacing w:after="60"/>
      </w:pPr>
      <w:r>
        <w:t xml:space="preserve">Reported ROE ~1% despite a claimed multi-lakh-crore topline -- the economics never made sense</w:t>
      </w:r>
    </w:p>
    <w:p>
      <w:pPr>
        <w:pStyle w:val="ListParagraph"/>
        <w:numPr>
          <w:ilvl w:val="0"/>
          <w:numId w:val="1"/>
        </w:numPr>
        <w:spacing w:after="60"/>
      </w:pPr>
      <w:r>
        <w:t xml:space="preserve">97-99% of revenue booked through overseas subsidiaries that could not be independently verified</w:t>
      </w:r>
    </w:p>
    <w:p>
      <w:pPr>
        <w:pStyle w:val="Heading1"/>
        <w:spacing w:after="120" w:before="280"/>
      </w:pPr>
      <w:r>
        <w:t xml:space="preserve">Market-Cap Tier (informational — not a gate in this project)</w:t>
      </w:r>
    </w:p>
    <w:p>
      <w:pPr>
        <w:spacing w:after="120"/>
      </w:pPr>
      <w:r>
        <w:rPr>
          <w:b/>
          <w:bCs/>
        </w:rPr>
        <w:t xml:space="preserve">Small-cap (~Rs 2,450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no · moat: no · valuation: no  (score 0 / 4)</w:t>
      </w:r>
    </w:p>
    <w:p>
      <w:pPr>
        <w:spacing w:after="120"/>
      </w:pPr>
      <w:r>
        <w:rPr>
          <w:i/>
          <w:iCs/>
          <w:color w:val="666666"/>
          <w:sz w:val="20"/>
          <w:szCs w:val="20"/>
        </w:rPr>
        <w:t xml:space="preserve">Red flag (EXCLUDE) -- four-box not meaningfully assessed; all boxes 'no' by rule. Active SEBI misrepresentation action, forensic audit obstructed.</w:t>
      </w:r>
    </w:p>
    <w:p>
      <w:pPr>
        <w:pStyle w:val="Heading1"/>
        <w:spacing w:after="120" w:before="280"/>
      </w:pPr>
      <w:r>
        <w:t xml:space="preserve">Verdict</w:t>
      </w:r>
    </w:p>
    <w:p>
      <w:pPr>
        <w:spacing w:after="120"/>
      </w:pPr>
      <w:r>
        <w:rPr>
          <w:b/>
          <w:bCs/>
          <w:sz w:val="24"/>
          <w:szCs w:val="24"/>
        </w:rPr>
        <w:t xml:space="preserve">EXCLUDE -- an active SEBI interim order alleging ~Rs 15 lakh crore of unverifiable revenue and a forensic auditor locked out of the books; uninvestable until resolved</w:t>
      </w:r>
    </w:p>
    <w:p>
      <w:pPr>
        <w:pStyle w:val="ListParagraph"/>
        <w:numPr>
          <w:ilvl w:val="0"/>
          <w:numId w:val="1"/>
        </w:numPr>
        <w:spacing w:after="60"/>
      </w:pPr>
      <w:r>
        <w:t xml:space="preserve">This was an untrusted X-triage lead (@BeatTheStreet10) flagged as a BEAR, and the bear case is correct: the 3 June 2026 SEBI interim order is an active fraud/misrepresentation action, which is a hard EXCLUDE red flag under the conviction rules -- thesis 'neither', conviction Low, no forum deep-read.</w:t>
      </w:r>
    </w:p>
    <w:p>
      <w:pPr>
        <w:pStyle w:val="ListParagraph"/>
        <w:numPr>
          <w:ilvl w:val="0"/>
          <w:numId w:val="1"/>
        </w:numPr>
        <w:spacing w:after="60"/>
      </w:pPr>
      <w:r>
        <w:t xml:space="preserve">No live-theme match; not applicable -- the name is filtered on governance, not on thesis.</w:t>
      </w:r>
    </w:p>
    <w:p>
      <w:pPr>
        <w:pStyle w:val="ListParagraph"/>
        <w:numPr>
          <w:ilvl w:val="0"/>
          <w:numId w:val="1"/>
        </w:numPr>
        <w:spacing w:after="60"/>
      </w:pPr>
      <w:r>
        <w:t xml:space="preserve">Do not revisit unless SEBI fully vacates the order and a clean forensic audit is published.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2026-09-09T13:51:41.670Z</dcterms:created>
  <dcterms:modified xsi:type="dcterms:W3CDTF">2026-09-09T13:51:41.675Z</dcterms:modified>
</cp:coreProperties>
</file>

<file path=docProps/custom.xml><?xml version="1.0" encoding="utf-8"?>
<Properties xmlns="http://schemas.openxmlformats.org/officeDocument/2006/custom-properties" xmlns:vt="http://schemas.openxmlformats.org/officeDocument/2006/docPropsVTypes"/>
</file>