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SAT Industries Ltd</w:t>
      </w:r>
    </w:p>
    <w:p>
      <w:pPr>
        <w:pBdr>
          <w:bottom w:val="single" w:color="CCCCCC" w:sz="6" w:space="8"/>
        </w:pBdr>
        <w:spacing w:after="200"/>
      </w:pPr>
      <w:r>
        <w:rPr>
          <w:i/>
          <w:iCs/>
          <w:color w:val="666666"/>
          <w:sz w:val="22"/>
          <w:szCs w:val="22"/>
        </w:rPr>
        <w:t xml:space="preserve">Mumbai-based diversified holding/trading group (manufacturing, leasing, finance, investments, import-export) -- mid-teens ROCE on paper but an opaque, unfocused conglomerate structure with no clear moat or catalyst</w:t>
      </w:r>
    </w:p>
    <w:p>
      <w:pPr>
        <w:pStyle w:val="Heading1"/>
        <w:spacing w:after="120" w:before="280"/>
      </w:pPr>
      <w:r>
        <w:t xml:space="preserve">Business Overview</w:t>
      </w:r>
    </w:p>
    <w:p>
      <w:pPr>
        <w:spacing w:after="120"/>
      </w:pPr>
      <w:r>
        <w:t xml:space="preserve">SAT Industries Ltd, incorporated 1984, is a diversified small-cap conglomerate engaged in manufacturing, leasing, finance, investments, and domestic/import-export trading out of Mumbai. The ValuePickr thread title itself frames it as 'fueling growth across industries through strategic investments' -- i.e. an investment/trading holding structure rather than a single-business operator.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600-615 Cr</w:t>
            </w:r>
          </w:p>
        </w:tc>
      </w:tr>
      <w:tr>
        <w:tc>
          <w:tcPr>
            <w:tcW w:type="dxa" w:w="3200"/>
            <w:shd w:fill="F2F2F2" w:val="clear"/>
          </w:tcPr>
          <w:p>
            <w:r>
              <w:rPr>
                <w:b/>
                <w:bCs/>
              </w:rPr>
              <w:t xml:space="preserve">ROCE</w:t>
            </w:r>
          </w:p>
        </w:tc>
        <w:tc>
          <w:tcPr>
            <w:tcW w:type="dxa" w:w="5800"/>
          </w:tcPr>
          <w:p>
            <w:r>
              <w:t xml:space="preserve">~9-16% (wide variance across sources/periods)</w:t>
            </w:r>
          </w:p>
        </w:tc>
      </w:tr>
      <w:tr>
        <w:tc>
          <w:tcPr>
            <w:tcW w:type="dxa" w:w="3200"/>
            <w:shd w:fill="F2F2F2" w:val="clear"/>
          </w:tcPr>
          <w:p>
            <w:r>
              <w:rPr>
                <w:b/>
                <w:bCs/>
              </w:rPr>
              <w:t xml:space="preserve">ROE</w:t>
            </w:r>
          </w:p>
        </w:tc>
        <w:tc>
          <w:tcPr>
            <w:tcW w:type="dxa" w:w="5800"/>
          </w:tcPr>
          <w:p>
            <w:r>
              <w:t xml:space="preserve">~6-14% (wide variance across sources/periods)</w:t>
            </w:r>
          </w:p>
        </w:tc>
      </w:tr>
      <w:tr>
        <w:tc>
          <w:tcPr>
            <w:tcW w:type="dxa" w:w="3200"/>
            <w:shd w:fill="F2F2F2" w:val="clear"/>
          </w:tcPr>
          <w:p>
            <w:r>
              <w:rPr>
                <w:b/>
                <w:bCs/>
              </w:rPr>
              <w:t xml:space="preserve">Business mix</w:t>
            </w:r>
          </w:p>
        </w:tc>
        <w:tc>
          <w:tcPr>
            <w:tcW w:type="dxa" w:w="5800"/>
          </w:tcPr>
          <w:p>
            <w:r>
              <w:t xml:space="preserve">Manufacturing + leasing + finance + investments + trading (unfocused)</w:t>
            </w:r>
          </w:p>
        </w:tc>
      </w:tr>
      <w:tr>
        <w:tc>
          <w:tcPr>
            <w:tcW w:type="dxa" w:w="3200"/>
            <w:shd w:fill="F2F2F2" w:val="clear"/>
          </w:tcPr>
          <w:p>
            <w:r>
              <w:rPr>
                <w:b/>
                <w:bCs/>
              </w:rPr>
              <w:t xml:space="preserve">52-week range</w:t>
            </w:r>
          </w:p>
        </w:tc>
        <w:tc>
          <w:tcPr>
            <w:tcW w:type="dxa" w:w="5800"/>
          </w:tcPr>
          <w:p>
            <w:r>
              <w:t xml:space="preserve">not independently confirmed</w:t>
            </w:r>
          </w:p>
        </w:tc>
      </w:tr>
    </w:tbl>
    <w:p>
      <w:pPr>
        <w:spacing w:after="100"/>
      </w:pPr>
    </w:p>
    <w:p>
      <w:pPr>
        <w:spacing w:after="120"/>
      </w:pPr>
      <w:r>
        <w:t xml:space="preserve">Reported ROCE/ROE figures vary widely across data sources and periods (ROCE cited anywhere from ~9% to ~16%, ROE ~6% to ~14%), which itself is a symptom of an opaque, multi-segment holding structure that is hard to underwrite from the outside. There is no single identifiable core business, no stated moat, and no named catalyst in the thread title or available data -- it reads as a generic 'strategic investments' diversified vehicle rather than a focused compounder.</w:t>
      </w:r>
    </w:p>
    <w:p>
      <w:pPr>
        <w:pStyle w:val="Heading1"/>
        <w:spacing w:after="120" w:before="280"/>
      </w:pPr>
      <w:r>
        <w:t xml:space="preserve">Technical Read (Weekly / Monthly MACD + Bollinger Bands, or RSI/CCI/Williams %R proxy)</w:t>
      </w:r>
    </w:p>
    <w:p>
      <w:pPr>
        <w:spacing w:after="120"/>
      </w:pPr>
      <w:r>
        <w:t xml:space="preserve">Not pulled -- filtered out before technicals escalation.</w:t>
      </w:r>
    </w:p>
    <w:p>
      <w:pPr>
        <w:pStyle w:val="Heading1"/>
        <w:spacing w:after="120" w:before="280"/>
      </w:pPr>
      <w:r>
        <w:t xml:space="preserve">ValuePickr Community Signal</w:t>
      </w:r>
    </w:p>
    <w:p>
      <w:pPr>
        <w:spacing w:after="120"/>
      </w:pPr>
      <w:r>
        <w:t xml:space="preserve">Not read in depth -- filtered out at the Step 3 fundamentals/red-flag stage before the forum deep-read.</w:t>
      </w:r>
    </w:p>
    <w:p>
      <w:pPr>
        <w:spacing w:after="120"/>
      </w:pPr>
      <w:r>
        <w:rPr>
          <w:b/>
          <w:bCs/>
          <w:sz w:val="20"/>
          <w:szCs w:val="20"/>
        </w:rPr>
        <w:t xml:space="preserve">High-conviction call from a top contributor: </w:t>
      </w:r>
      <w:r>
        <w:rPr>
          <w:sz w:val="20"/>
          <w:szCs w:val="20"/>
        </w:rPr>
        <w:t xml:space="preserve">None assessed this run.</w:t>
      </w:r>
    </w:p>
    <w:p>
      <w:pPr>
        <w:pStyle w:val="Heading1"/>
        <w:spacing w:after="120" w:before="280"/>
      </w:pPr>
      <w:r>
        <w:t xml:space="preserve">BSE Corporate Actions / Other Red Flags</w:t>
      </w:r>
    </w:p>
    <w:p>
      <w:pPr>
        <w:spacing w:after="120"/>
      </w:pPr>
      <w:r>
        <w:t xml:space="preserve">Not assessed this run.</w:t>
      </w:r>
    </w:p>
    <w:p>
      <w:pPr>
        <w:pStyle w:val="Heading1"/>
        <w:spacing w:after="120" w:before="280"/>
      </w:pPr>
      <w:r>
        <w:t xml:space="preserve">Bull Case</w:t>
      </w:r>
    </w:p>
    <w:p>
      <w:pPr>
        <w:pStyle w:val="ListParagraph"/>
        <w:numPr>
          <w:ilvl w:val="0"/>
          <w:numId w:val="1"/>
        </w:numPr>
        <w:spacing w:after="60"/>
      </w:pPr>
      <w:r>
        <w:t xml:space="preserve">Reasonable headline ROCE/ROE on some data cuts (~13-16%)</w:t>
      </w:r>
    </w:p>
    <w:p>
      <w:pPr>
        <w:pStyle w:val="ListParagraph"/>
        <w:numPr>
          <w:ilvl w:val="0"/>
          <w:numId w:val="1"/>
        </w:numPr>
        <w:spacing w:after="60"/>
      </w:pPr>
      <w:r>
        <w:t xml:space="preserve">Diversification across manufacturing/leasing/finance/trading could smooth single-segment cyclicality</w:t>
      </w:r>
    </w:p>
    <w:p>
      <w:pPr>
        <w:pStyle w:val="Heading1"/>
        <w:spacing w:after="120" w:before="280"/>
      </w:pPr>
      <w:r>
        <w:t xml:space="preserve">Bear Case / Key Risks</w:t>
      </w:r>
    </w:p>
    <w:p>
      <w:pPr>
        <w:pStyle w:val="ListParagraph"/>
        <w:numPr>
          <w:ilvl w:val="0"/>
          <w:numId w:val="1"/>
        </w:numPr>
        <w:spacing w:after="60"/>
      </w:pPr>
      <w:r>
        <w:t xml:space="preserve">Opaque, unfocused conglomerate -- no single core business or moat to underwrite</w:t>
      </w:r>
    </w:p>
    <w:p>
      <w:pPr>
        <w:pStyle w:val="ListParagraph"/>
        <w:numPr>
          <w:ilvl w:val="0"/>
          <w:numId w:val="1"/>
        </w:numPr>
        <w:spacing w:after="60"/>
      </w:pPr>
      <w:r>
        <w:t xml:space="preserve">Wide variance in reported return metrics across sources suggests messy/hard-to-verify segment reporting</w:t>
      </w:r>
    </w:p>
    <w:p>
      <w:pPr>
        <w:pStyle w:val="ListParagraph"/>
        <w:numPr>
          <w:ilvl w:val="0"/>
          <w:numId w:val="1"/>
        </w:numPr>
        <w:spacing w:after="60"/>
      </w:pPr>
      <w:r>
        <w:t xml:space="preserve">No named catalyst, no live-theme match, no trusted-user or community conviction signal</w:t>
      </w:r>
    </w:p>
    <w:p>
      <w:pPr>
        <w:pStyle w:val="ListParagraph"/>
        <w:numPr>
          <w:ilvl w:val="0"/>
          <w:numId w:val="1"/>
        </w:numPr>
        <w:spacing w:after="60"/>
      </w:pPr>
      <w:r>
        <w:t xml:space="preserve">Classic 'diversified strategic investments' holdco structure historically prone to related-party and capital-allocation opacity</w:t>
      </w:r>
    </w:p>
    <w:p>
      <w:pPr>
        <w:pStyle w:val="Heading1"/>
        <w:spacing w:after="120" w:before="280"/>
      </w:pPr>
      <w:r>
        <w:t xml:space="preserve">Market-Cap Tier (informational — not a gate in this project)</w:t>
      </w:r>
    </w:p>
    <w:p>
      <w:pPr>
        <w:spacing w:after="120"/>
      </w:pPr>
      <w:r>
        <w:rPr>
          <w:b/>
          <w:bCs/>
        </w:rPr>
        <w:t xml:space="preserve">Small-cap (~Rs 600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no · TAM: weak · moat: no · valuation: weak  (score 1 / 4)</w:t>
      </w:r>
    </w:p>
    <w:p>
      <w:pPr>
        <w:spacing w:after="120"/>
      </w:pPr>
      <w:r>
        <w:rPr>
          <w:i/>
          <w:iCs/>
          <w:color w:val="666666"/>
          <w:sz w:val="20"/>
          <w:szCs w:val="20"/>
        </w:rPr>
        <w:t xml:space="preserve">tailwind=no (no identifiable accelerating tailwind for a multi-segment manufacturing/leasing/finance/trading holdco). tam=weak (unclear addressable market given the mixed business, no stated focus). moat=no (no differentiated core business). valuation=weak (return metrics vary 9-16% ROCE across sources -- can't underwrite cleanly). Score 1.0 -&gt; neither, hard.</w:t>
      </w:r>
    </w:p>
    <w:p>
      <w:pPr>
        <w:pStyle w:val="Heading1"/>
        <w:spacing w:after="120" w:before="280"/>
      </w:pPr>
      <w:r>
        <w:t xml:space="preserve">Verdict</w:t>
      </w:r>
    </w:p>
    <w:p>
      <w:pPr>
        <w:spacing w:after="120"/>
      </w:pPr>
      <w:r>
        <w:rPr>
          <w:b/>
          <w:bCs/>
          <w:sz w:val="24"/>
          <w:szCs w:val="24"/>
        </w:rPr>
        <w:t xml:space="preserve">Opaque diversified holding/trading conglomerate with no clear moat or catalyst -- filtered out at fundamentals stage</w:t>
      </w:r>
    </w:p>
    <w:p>
      <w:pPr>
        <w:pStyle w:val="ListParagraph"/>
        <w:numPr>
          <w:ilvl w:val="0"/>
          <w:numId w:val="1"/>
        </w:numPr>
        <w:spacing w:after="60"/>
      </w:pPr>
      <w:r>
        <w:t xml:space="preserve">No live-theme match -- generic diversified investment/trading business, no keyword hit against active_themes.json; recency/forum-discovery pass with no theme boost.</w:t>
      </w:r>
    </w:p>
    <w:p>
      <w:pPr>
        <w:pStyle w:val="ListParagraph"/>
        <w:numPr>
          <w:ilvl w:val="0"/>
          <w:numId w:val="1"/>
        </w:numPr>
        <w:spacing w:after="60"/>
      </w:pPr>
      <w:r>
        <w:t xml:space="preserve">four_box score 1.0 -&gt; 'neither' (hard). tailwind no (no identifiable sector tailwind for a multi-segment holdco), tam weak (unclear addressable market given the mixed business), moat no (no differentiated single business), valuation weak (return metrics inconsistent across sources, can't underwrite cleanly). No red flag found, but both trailing quality and the thesis case are weak with no catalyst -- filtered per Step 3 rule.</w:t>
      </w:r>
    </w:p>
    <w:p>
      <w:pPr>
        <w:pStyle w:val="ListParagraph"/>
        <w:numPr>
          <w:ilvl w:val="0"/>
          <w:numId w:val="1"/>
        </w:numPr>
        <w:spacing w:after="60"/>
      </w:pPr>
      <w:r>
        <w:t xml:space="preserve">Conviction Low. Would need a clear focused-business narrative (spin-off, divestiture of non-core segments, or a specific growth driver) before revisiting.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2026-09-11T16:07:35.724Z</dcterms:created>
  <dcterms:modified xsi:type="dcterms:W3CDTF">2026-09-11T16:07:35.730Z</dcterms:modified>
</cp:coreProperties>
</file>

<file path=docProps/custom.xml><?xml version="1.0" encoding="utf-8"?>
<Properties xmlns="http://schemas.openxmlformats.org/officeDocument/2006/custom-properties" xmlns:vt="http://schemas.openxmlformats.org/officeDocument/2006/docPropsVTypes"/>
</file>