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SMR Jewels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Rs ~166 Cr just-listed BSE-SME B2B designer / mythology-inspired jewellery supplier -- optically stunning (PAT up ~20x off a tiny base, ROE ~55-72%, ~10x P/E) but a thin-margin, gold-price- and working-capital-exposed job-work model with no listed track record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SMR Jewels (BSE SME: SMR) is a Gujarat-based designer of heritage, spiritual, mythology-inspired, bridal and traditional gold / diamond jewellery, sold B2B to wholesalers, retailers, boutiques and jewellery chains across India. It does design and distribution, not consumer retail -- effectively a design-led supplier into the jewellery trade.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166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</w:t>
            </w:r>
          </w:p>
        </w:tc>
        <w:tc>
          <w:tcPr>
            <w:tcW w:type="dxa" w:w="5800"/>
          </w:tcPr>
          <w:p>
            <w:r>
              <w:t xml:space="preserve">~Rs 263-432 Cr (sources conflict); grew from ~Rs 68 Cr (FY23)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PAT</w:t>
            </w:r>
          </w:p>
        </w:tc>
        <w:tc>
          <w:tcPr>
            <w:tcW w:type="dxa" w:w="5800"/>
          </w:tcPr>
          <w:p>
            <w:r>
              <w:t xml:space="preserve">~Rs 25 Cr; up ~20x FY23 -&gt; 9M-FY26 off a tiny base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(FY25)</w:t>
            </w:r>
          </w:p>
        </w:tc>
        <w:tc>
          <w:tcPr>
            <w:tcW w:type="dxa" w:w="5800"/>
          </w:tcPr>
          <w:p>
            <w:r>
              <w:t xml:space="preserve">~55-72% (on thin equity)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52-wk range</w:t>
            </w:r>
          </w:p>
        </w:tc>
        <w:tc>
          <w:tcPr>
            <w:tcW w:type="dxa" w:w="5800"/>
          </w:tcPr>
          <w:p>
            <w:r>
              <w:t xml:space="preserve">Rs 75.85 - 115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Valuation</w:t>
            </w:r>
          </w:p>
        </w:tc>
        <w:tc>
          <w:tcPr>
            <w:tcW w:type="dxa" w:w="5800"/>
          </w:tcPr>
          <w:p>
            <w:r>
              <w:t xml:space="preserve">~10-11x earnings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numbers -- ~20x PAT growth, 55-72% ROE, ~10x P/E -- look extraordinary, and that is exactly the problem for a freshly listed SME: the ROE is on a very thin equity base, the PAT explosion is off a near-zero start, and B2B jewellery is structurally a low-gross-margin, gold-price-linked, working-capital-heavy job-work business with weak switching costs. Conflicting revenue figures across data providers add to the disclosure-quality concern. There is no listed history, no concall cadence, and promoter-run micro-cap governance.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newly listed SME, minimal trading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(category 11/14/17 search returned nothing) -- topic_slug null; research is web based.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Newly listed BSE SME; no corporate-action history. Standard micro-cap governance / liquidity caveats; conflicting reported revenue across providers warrants caution on data quality.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Very low optical valuation (~10x earnings) versus reported ROE of 55-72%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Branded / design-led positioning (mythology, heritage, bridal collections) in a formalising jewellery trade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Rapid reported growth off a small base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base; ~20x PAT growth and 55-72% ROE are artefacts of thin equity and a near-zero start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B2B job-work jewellery: low gross margin, gold-price pass-through risk, heavy working capital, weak switching costs, no end-consumer brand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listed track record, no concalls, promoter-run micro-cap; conflicting revenue data across sources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Low P/E on a just-listed SME with explosive reported earnings is as much a red flag as an opportunity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Untrusted lead; no community or trusted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166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(jewellery formalisation real but B2B supplier captures little). tam=weak (small B2B design-supply niche). moat=no (gold-price / working-capital exposed job-work, no consumer brand, weak switching cost). valuation=weak (~10x P/E low, but earnings quality on a just-listed SME unverifiable and conflicting revenue data).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Optically cheap and high-ROE, but a thin-margin B2B jewellery job-shop with no listed history and shaky data quality -- 'neither', conviction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-- jewellery formalisation is not on the active theme list; processed as an external lead.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(hard). tailwind weak (jewellery formalisation is real but a B2B supplier captures little of it), tam weak (small B2B design-supply niche), moat no (job-work model, gold-price and working-capital exposed, no consumer brand), valuation weak (~10x P/E is genuinely low but earnings quality on a just-listed SME is unverifiable). 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The combination of a fresh SME listing, ~20x PAT growth off a tiny base, ROE flattered by thin equity, and conflicting revenue figures is a caution cluster, not an opportunity. Re-check only after several clean listed quarters and consistent third-party data.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2026-09-09T14:07:12.670Z</dcterms:created>
  <dcterms:modified xsi:type="dcterms:W3CDTF">2026-09-09T14:07:12.671Z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