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Sarda Energy &amp; Minerals Ltd (SEML)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Chhattisgarh-based integrated steel/ferro-alloys/power flagship of Sarda Group, growing fast (75% YoY revenue) with an ambitious capacity-doubling plan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Sarda Energy &amp; Minerals (incorporated 1973), the flagship company of Sarda Group, is engaged in production of steel, ferro alloys and power, with coal and iron-ore mining assets in Chhattisgarh.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18,125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17.4% / 16.1%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 YoY</w:t>
            </w:r>
          </w:p>
        </w:tc>
        <w:tc>
          <w:tcPr>
            <w:tcW w:type="dxa" w:w="5800"/>
          </w:tcPr>
          <w:p>
            <w:r>
              <w:t xml:space="preserve">75.47%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profit growth YoY</w:t>
            </w:r>
          </w:p>
        </w:tc>
        <w:tc>
          <w:tcPr>
            <w:tcW w:type="dxa" w:w="5800"/>
          </w:tcPr>
          <w:p>
            <w:r>
              <w:t xml:space="preserve">41.99%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debt</w:t>
            </w:r>
          </w:p>
        </w:tc>
        <w:tc>
          <w:tcPr>
            <w:tcW w:type="dxa" w:w="5800"/>
          </w:tcPr>
          <w:p>
            <w:r>
              <w:t xml:space="preserve">~Rs 1,604 Cr (debt Rs 2,861 Cr, cash Rs 1,257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453 - 640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strong recent growth (75.47% YoY revenue, 41.99% YoY net profit) alongside solid ROCE (17.4%) and ROE (16.1%). Some net debt (~Rs 1,604 Cr) but manageable relative to scale. Management is guiding an ambitious near-doubling of power generation capacity (930 MW to &gt;1,720 MW), plus expanding coal/iron-ore mining pipeline — real capacity-backed growth, not just commodity price pass-through.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546 · 17.7x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~18x TTM on cycle-high margins (31% OPM) for a commodity integrated player implies the market expects the capacity-doubling to more than offset margin mean-reversion; a mid-cycle multiple would be ~10-14x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on the capacity ramp and hydro power; OPM likely off the 31% peak as ferro-alloy/steel spreads normalise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full contribution from the capacity plan; net debt (~Rs 2,632 Cr) and commodity spreads are the swing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18x on peak-ish earnings with rising net debt; downside if ferro-alloy/steel/power spreads revert, which the multiple does not appear to discount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17%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7 years (consistency_score 43)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FY18-FY26 (both metrics verifiable), FY22 (+78%/29%), FY25 (+20%/15%) and FY26 (+23%/17%) cleared both filters. The commodity-cyclical topline clears 10% in about half the years; FY22 and FY25-26 cleared on the ferro-alloy/power up-cycle.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around Rs 514, roughly mid-range within its Rs 453-640 52-week band.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Moderately active VP thread (29 replies, last activity 2026-05-29) with substantive, detailed concall coverage.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(well-known top contributor, 2026-05-29, 1 love) posted detailed Q4/FY26 concall highlights: current power capacity 930 MW growing to &gt;1,720 MW, active coal mining (Gare Palma, Tamnar) and iron ore mining (Dongarbore) with several new blocks in the pipeline, plus 50 MW solar under construction (Q1 FY27 commissioning) — a specific, well-documented capacity-expansion thesis from a repeat, credible poster.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— no red-flag corporate actions surfaced in search.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75% YoY revenue growth and 42% YoY profit growth are genuinely strong, not just base-effect noise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Concrete, quantified capacity-expansion plan (power capacity to nearly double) backed by a detailed concall from a credible community poster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Vertically integrated (own coal + iron ore mining feeding steel/ferro-alloy/power production) supports margin durability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ROCE/ROE both healthy at mid-teens to high-teens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Steel/ferro-alloys/power remains commodity-price and cycle-sensitive despite the vertical integration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of ~Rs 1,600 Cr will grow further to fund the capacity expansion, adding execution and leverage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Rs 18,125 Cr market cap, already a well-covered mid-large-cap — a 10x/100x re-rating needs an exceptional, sustained catalyst beyond capacity growth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Mid-large-cap (~Rs 18,125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Concrete, quantified power-capacity-doubling plan (930MW-&gt;1,720MW+) + expanding coal/iron-ore mining pipeline is a real capacity-backed tailwind; already a well-covered Rs18,125cr mid-large-cap needing 'an exceptional, sustained catalyst' — tam no; vertically integrated (own coal+iron ore feeding steel/ferro-alloy/power) is a genuine structural moat; growing net debt (~Rs1,604cr) to fund expansion — valuation weak, no market_expectation data.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Real, capacity-backed growth story with credible community coverage — but market cap size keeps this outside the screen's 10x/100x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75% YoY revenue growth plus a concrete, quantified capacity-doubling plan is a genuinely strong combination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at Rs 18,125 Cr, even sustained execution on the expansion plan is unlikely to deliver a 10x-in-2-3-years or 100x-in-10-years outcome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of the stronger 'neither' names in this batch — worth tracking for continued execution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2026-09-09T18:14:46.196Z</dcterms:created>
  <dcterms:modified xsi:type="dcterms:W3CDTF">2026-09-09T18:14:46.197Z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