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Satin Creditcare Network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Microfinance NBFC potentially benefiting as banks pull back from MFI lending, but weak ROE and inherent sector asset-quality risk temper the case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Satin Creditcare Network is a non-deposit-taking NBFC-MFI providing microfinance loans primarily to rural women in India, competing with players like Muthoot in the microfinance lending space.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2,486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7.3-7.9%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11.5-19% (sources vary)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forecast</w:t>
            </w:r>
          </w:p>
        </w:tc>
        <w:tc>
          <w:tcPr>
            <w:tcW w:type="dxa" w:w="5800"/>
          </w:tcPr>
          <w:p>
            <w:r>
              <w:t xml:space="preserve">~11.1%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3.46 (high, typical for a lending NBFC)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Roughly Rs 133-178 (recent), wider historical range Rs 81.55-178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ROE of 7.3-7.9% is weak for an NBFC lender (where high leverage should normally amplify equity returns), suggesting either margin compression or elevated credit costs. High D/E (3.46) is structurally normal for a lending business but raises the stakes on asset quality. Revenue growth forecast (~11%) is moderate, not standout.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beyond the 52-week range noted in fundamentals (roughly Rs 133-178 in the recent window) — insufficient to characterize trend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(315 replies, last activity 2026-08-10) with the latest post pointing to a favorable industry-structure shift rather than company-specific news.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thakurvi (2026-08-10 post, 1 love) noted that banks are 'going less aggressive' in MFI lending, which is 'good news for large players like Satin and Muthoot' as it channels more demand to established NBFC-MFIs. A brief but specific sector-structure observation rather than a deep company thesis. posts_seen=1.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2026-08-30 — vikas_sinha (trusted, elevated-tier)</w:t>
      </w:r>
      <w:r>
        <w:rPr>
          <w:i/>
          <w:iCs/>
          <w:color w:val="666666"/>
          <w:sz w:val="18"/>
          <w:szCs w:val="18"/>
        </w:rPr>
        <w:t xml:space="preserve"> (The Anti-Portfolio)</w:t>
      </w:r>
      <w:r>
        <w:rPr>
          <w:sz w:val="20"/>
          <w:szCs w:val="20"/>
        </w:rPr>
        <w:br/>
        <w:t xml:space="preserve">: SUPERSEDES the 2026-08-03 entry. post #837 (2026-08-30): "Sold out Satin credit, held for 4 weeks, bought GSM foils" - explicit exit after a 4-week hold. Assam flood / rural-agri drag and el-nino cited. trusted_conviction trio cleared on state.json. [signal_type=exit stamped 2026-09-10 for compute_conviction_score]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vikas_sinha</w:t>
      </w:r>
      <w:r>
        <w:rPr>
          <w:i/>
          <w:iCs/>
          <w:color w:val="666666"/>
          <w:sz w:val="18"/>
          <w:szCs w:val="18"/>
        </w:rPr>
        <w:t xml:space="preserve"> (The Anti-Portfolio)</w:t>
      </w:r>
      <w:r>
        <w:rPr>
          <w:sz w:val="20"/>
          <w:szCs w:val="20"/>
        </w:rPr>
        <w:br/>
        <w:t xml:space="preserve">: "Sold out Zen technologies, entered Satin credit... good observation about changing business dynamics from @hitesh2710" (post #821, 2026-08-03) - high conviction, new position.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Banks retreating from MFI lending could funnel incremental loan demand to established players like Satin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Microfinance remains a large, underpenetrated rural-lending opportunity in India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Moderate revenue growth forecast (~11%) suggests steady, if unspectacular, business continuity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of only 7.3-7.9% is weak for a leveraged NBFC lender — doesn't clear this screen's quality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Indian microfinance sector has had repeated asset-quality stress episodes (over-indebtedness, state-level interventions) in recent years — a structural sector risk even absent company-specific red flags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 (D/E 3.46) amplifies downside if credit costs rise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2,486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Bank retreat from MFI lending could funnel some incremental demand (weak, not transformational); ROE (7.3-7.9%) explicitly fails the quality bar for a leveraged NBFC lender — tam no; no moat described and recurring MFI sector asset-quality stress is a structural risk — no; no valuation data recorded, D/E 3.46 is high leverage against currently-weak returns. [audit 2026-09-07: thesis_fit set to 'neither' to satisfy the four_box &lt;=1.5 hard gate (DEEPDIVE_QUICKREF decision table); prior label was a 10x return label. vpscreen-rerank may revisit if boxes improve.]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returns and sector-risk profile keep this off the conviction list despite a favorable demand-shift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(7.3-7.9%) fails the quality bar for a leveraged lending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MFI sector carries recurring asset-quality/regulatory risk that isn't specific to Satin but weighs on the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bank-pullback tailwind is real but incremental, not transformational, at this fundamentals profile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2026-09-10T15:47:14.795Z</dcterms:created>
  <dcterms:modified xsi:type="dcterms:W3CDTF">2026-09-10T15:47:14.796Z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