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Shri Ahimsa Naturals Ltd</w:t>
      </w:r>
    </w:p>
    <w:p>
      <w:pPr>
        <w:pBdr>
          <w:bottom w:val="single" w:color="CCCCCC" w:sz="6" w:space="8"/>
        </w:pBdr>
        <w:spacing w:after="200"/>
      </w:pPr>
      <w:r>
        <w:rPr>
          <w:i/>
          <w:iCs/>
          <w:color w:val="666666"/>
          <w:sz w:val="22"/>
          <w:szCs w:val="22"/>
        </w:rPr>
        <w:t xml:space="preserve">Rs ~900 Cr small-cap natural-caffeine and botanical-extract maker (claims Asia's largest natural-caffeine capacity) -- ROCE ~24%, debt-free, ~18% revenue CAGR on a tiny ~Rs 123 Cr base -- backward-integrating and trebling capacity, but a niche semi-commoditised export product at ~45x earnings</w:t>
      </w:r>
    </w:p>
    <w:p>
      <w:pPr>
        <w:pStyle w:val="Heading1"/>
        <w:spacing w:after="120" w:before="280"/>
      </w:pPr>
      <w:r>
        <w:t xml:space="preserve">Business Overview</w:t>
      </w:r>
    </w:p>
    <w:p>
      <w:pPr>
        <w:spacing w:after="120"/>
      </w:pPr>
      <w:r>
        <w:t xml:space="preserve">Shri Ahimsa Naturals (NSE: SHRIAHIMSA) extracts natural caffeine from green coffee beans / tea waste and produces allied botanical extracts and nutraceutical ingredients, sold largely to global beverage, pharma, cosmetics and supplement customers. The pitch is scale leadership in natural (vs synthetic Chinese) caffeine plus a 3x capacity expansion and backward integration toward a fully integrated extraction chain.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900-1,140 Cr (small-cap)</w:t>
            </w:r>
          </w:p>
        </w:tc>
      </w:tr>
      <w:tr>
        <w:tc>
          <w:tcPr>
            <w:tcW w:type="dxa" w:w="3200"/>
            <w:shd w:fill="F2F2F2" w:val="clear"/>
          </w:tcPr>
          <w:p>
            <w:r>
              <w:rPr>
                <w:b/>
                <w:bCs/>
              </w:rPr>
              <w:t xml:space="preserve">ROCE / ROE</w:t>
            </w:r>
          </w:p>
        </w:tc>
        <w:tc>
          <w:tcPr>
            <w:tcW w:type="dxa" w:w="5800"/>
          </w:tcPr>
          <w:p>
            <w:r>
              <w:t xml:space="preserve">~24.3% / ~18.4%</w:t>
            </w:r>
          </w:p>
        </w:tc>
      </w:tr>
      <w:tr>
        <w:tc>
          <w:tcPr>
            <w:tcW w:type="dxa" w:w="3200"/>
            <w:shd w:fill="F2F2F2" w:val="clear"/>
          </w:tcPr>
          <w:p>
            <w:r>
              <w:rPr>
                <w:b/>
                <w:bCs/>
              </w:rPr>
              <w:t xml:space="preserve">Revenue (TTM)</w:t>
            </w:r>
          </w:p>
        </w:tc>
        <w:tc>
          <w:tcPr>
            <w:tcW w:type="dxa" w:w="5800"/>
          </w:tcPr>
          <w:p>
            <w:r>
              <w:t xml:space="preserve">~Rs 123 Cr; ~18% revenue CAGR vs industry ~10%</w:t>
            </w:r>
          </w:p>
        </w:tc>
      </w:tr>
      <w:tr>
        <w:tc>
          <w:tcPr>
            <w:tcW w:type="dxa" w:w="3200"/>
            <w:shd w:fill="F2F2F2" w:val="clear"/>
          </w:tcPr>
          <w:p>
            <w:r>
              <w:rPr>
                <w:b/>
                <w:bCs/>
              </w:rPr>
              <w:t xml:space="preserve">Debt</w:t>
            </w:r>
          </w:p>
        </w:tc>
        <w:tc>
          <w:tcPr>
            <w:tcW w:type="dxa" w:w="5800"/>
          </w:tcPr>
          <w:p>
            <w:r>
              <w:t xml:space="preserve">Debt-free (D/E ~0)</w:t>
            </w:r>
          </w:p>
        </w:tc>
      </w:tr>
      <w:tr>
        <w:tc>
          <w:tcPr>
            <w:tcW w:type="dxa" w:w="3200"/>
            <w:shd w:fill="F2F2F2" w:val="clear"/>
          </w:tcPr>
          <w:p>
            <w:r>
              <w:rPr>
                <w:b/>
                <w:bCs/>
              </w:rPr>
              <w:t xml:space="preserve">52-wk range</w:t>
            </w:r>
          </w:p>
        </w:tc>
        <w:tc>
          <w:tcPr>
            <w:tcW w:type="dxa" w:w="5800"/>
          </w:tcPr>
          <w:p>
            <w:r>
              <w:t xml:space="preserve">Rs 126.50 - 280.10</w:t>
            </w:r>
          </w:p>
        </w:tc>
      </w:tr>
      <w:tr>
        <w:tc>
          <w:tcPr>
            <w:tcW w:type="dxa" w:w="3200"/>
            <w:shd w:fill="F2F2F2" w:val="clear"/>
          </w:tcPr>
          <w:p>
            <w:r>
              <w:rPr>
                <w:b/>
                <w:bCs/>
              </w:rPr>
              <w:t xml:space="preserve">Valuation</w:t>
            </w:r>
          </w:p>
        </w:tc>
        <w:tc>
          <w:tcPr>
            <w:tcW w:type="dxa" w:w="5800"/>
          </w:tcPr>
          <w:p>
            <w:r>
              <w:t xml:space="preserve">~40-45x earnings on a small PAT base</w:t>
            </w:r>
          </w:p>
        </w:tc>
      </w:tr>
    </w:tbl>
    <w:p>
      <w:pPr>
        <w:spacing w:after="100"/>
      </w:pPr>
    </w:p>
    <w:p>
      <w:pPr>
        <w:spacing w:after="120"/>
      </w:pPr>
      <w:r>
        <w:t xml:space="preserve">Return ratios are genuinely good and the balance sheet is clean, but the absolute base is tiny (~Rs 123 Cr revenue) and growth (~18% CAGR) is solid-not-explosive. Natural caffeine is a niche, semi-commoditised ingredient with meaningful customer and geography concentration and FX / export-demand sensitivity; 'Asia's largest' is a capacity claim, not a pricing moat. The 3x capacity expansion plus backward integration is the real catalyst -- if it lands on schedule and fills, revenue and margins step up; if global caffeine pricing stays soft or a key customer shifts, the new capacity sits idle.</w:t>
      </w:r>
    </w:p>
    <w:p>
      <w:pPr>
        <w:pStyle w:val="Heading1"/>
        <w:spacing w:after="120" w:before="280"/>
      </w:pPr>
      <w:r>
        <w:t xml:space="preserve">Technical Read (Weekly / Monthly MACD + Bollinger Bands, or RSI/CCI/Williams %R proxy)</w:t>
      </w:r>
    </w:p>
    <w:p>
      <w:pPr>
        <w:spacing w:after="120"/>
      </w:pPr>
      <w:r>
        <w:t xml:space="preserve">Not pulled -- recent listing, wide 52-week band (roughly 2.2x low to high).</w:t>
      </w:r>
    </w:p>
    <w:p>
      <w:pPr>
        <w:pStyle w:val="Heading1"/>
        <w:spacing w:after="120" w:before="280"/>
      </w:pPr>
      <w:r>
        <w:t xml:space="preserve">ValuePickr Community Signal</w:t>
      </w:r>
    </w:p>
    <w:p>
      <w:pPr>
        <w:spacing w:after="120"/>
      </w:pPr>
      <w:r>
        <w:t xml:space="preserve">No dedicated ValuePickr thread found (category 11/14/17 search returned nothing) -- topic_slug null; research is web / filing based.</w:t>
      </w:r>
    </w:p>
    <w:p>
      <w:pPr>
        <w:spacing w:after="120"/>
      </w:pPr>
      <w:r>
        <w:rPr>
          <w:b/>
          <w:bCs/>
          <w:sz w:val="20"/>
          <w:szCs w:val="20"/>
        </w:rPr>
        <w:t xml:space="preserve">High-conviction call from a top contributor: </w:t>
      </w:r>
      <w:r>
        <w:rPr>
          <w:sz w:val="20"/>
          <w:szCs w:val="20"/>
        </w:rPr>
        <w:t xml:space="preserve">No trusted-user coverage. Untrusted X-triage lead (@BeatTheStreet10).</w:t>
      </w:r>
    </w:p>
    <w:p>
      <w:pPr>
        <w:pStyle w:val="Heading1"/>
        <w:spacing w:after="120" w:before="280"/>
      </w:pPr>
      <w:r>
        <w:t xml:space="preserve">BSE Corporate Actions / Other Red Flags</w:t>
      </w:r>
    </w:p>
    <w:p>
      <w:pPr>
        <w:spacing w:after="120"/>
      </w:pPr>
      <w:r>
        <w:t xml:space="preserve">Recently listed small-cap; standard promoter-run disclosure and liquidity caveats. No adverse corporate-action history surfaced.</w:t>
      </w:r>
    </w:p>
    <w:p>
      <w:pPr>
        <w:pStyle w:val="Heading1"/>
        <w:spacing w:after="120" w:before="280"/>
      </w:pPr>
      <w:r>
        <w:t xml:space="preserve">Bull Case</w:t>
      </w:r>
    </w:p>
    <w:p>
      <w:pPr>
        <w:pStyle w:val="ListParagraph"/>
        <w:numPr>
          <w:ilvl w:val="0"/>
          <w:numId w:val="1"/>
        </w:numPr>
        <w:spacing w:after="60"/>
      </w:pPr>
      <w:r>
        <w:t xml:space="preserve">Clean financials -- ROCE ~24%, debt-free, ~18% revenue CAGR ahead of industry</w:t>
      </w:r>
    </w:p>
    <w:p>
      <w:pPr>
        <w:pStyle w:val="ListParagraph"/>
        <w:numPr>
          <w:ilvl w:val="0"/>
          <w:numId w:val="1"/>
        </w:numPr>
        <w:spacing w:after="60"/>
      </w:pPr>
      <w:r>
        <w:t xml:space="preserve">Scale leadership claim in natural caffeine as a China+1 / clean-label substitute for synthetic caffeine</w:t>
      </w:r>
    </w:p>
    <w:p>
      <w:pPr>
        <w:pStyle w:val="ListParagraph"/>
        <w:numPr>
          <w:ilvl w:val="0"/>
          <w:numId w:val="1"/>
        </w:numPr>
        <w:spacing w:after="60"/>
      </w:pPr>
      <w:r>
        <w:t xml:space="preserve">3x capacity expansion plus backward integration is a concrete multi-year catalyst if it fills</w:t>
      </w:r>
    </w:p>
    <w:p>
      <w:pPr>
        <w:pStyle w:val="Heading1"/>
        <w:spacing w:after="120" w:before="280"/>
      </w:pPr>
      <w:r>
        <w:t xml:space="preserve">Bear Case / Key Risks</w:t>
      </w:r>
    </w:p>
    <w:p>
      <w:pPr>
        <w:pStyle w:val="ListParagraph"/>
        <w:numPr>
          <w:ilvl w:val="0"/>
          <w:numId w:val="1"/>
        </w:numPr>
        <w:spacing w:after="60"/>
      </w:pPr>
      <w:r>
        <w:t xml:space="preserve">Tiny base (~Rs 123 Cr revenue); percentage ratios flatter a very small company</w:t>
      </w:r>
    </w:p>
    <w:p>
      <w:pPr>
        <w:pStyle w:val="ListParagraph"/>
        <w:numPr>
          <w:ilvl w:val="0"/>
          <w:numId w:val="1"/>
        </w:numPr>
        <w:spacing w:after="60"/>
      </w:pPr>
      <w:r>
        <w:t xml:space="preserve">Natural caffeine is semi-commoditised with customer / geography concentration and export-demand + FX sensitivity</w:t>
      </w:r>
    </w:p>
    <w:p>
      <w:pPr>
        <w:pStyle w:val="ListParagraph"/>
        <w:numPr>
          <w:ilvl w:val="0"/>
          <w:numId w:val="1"/>
        </w:numPr>
        <w:spacing w:after="60"/>
      </w:pPr>
      <w:r>
        <w:t xml:space="preserve">~45x earnings already prices in a successful expansion</w:t>
      </w:r>
    </w:p>
    <w:p>
      <w:pPr>
        <w:pStyle w:val="ListParagraph"/>
        <w:numPr>
          <w:ilvl w:val="0"/>
          <w:numId w:val="1"/>
        </w:numPr>
        <w:spacing w:after="60"/>
      </w:pPr>
      <w:r>
        <w:t xml:space="preserve">Capacity trebling ahead of demand is a classic small-cap over-build risk</w:t>
      </w:r>
    </w:p>
    <w:p>
      <w:pPr>
        <w:pStyle w:val="ListParagraph"/>
        <w:numPr>
          <w:ilvl w:val="0"/>
          <w:numId w:val="1"/>
        </w:numPr>
        <w:spacing w:after="60"/>
      </w:pPr>
      <w:r>
        <w:t xml:space="preserve">Untrusted lead; no community or trusted validation</w:t>
      </w:r>
    </w:p>
    <w:p>
      <w:pPr>
        <w:pStyle w:val="Heading1"/>
        <w:spacing w:after="120" w:before="280"/>
      </w:pPr>
      <w:r>
        <w:t xml:space="preserve">Market-Cap Tier (informational — not a gate in this project)</w:t>
      </w:r>
    </w:p>
    <w:p>
      <w:pPr>
        <w:spacing w:after="120"/>
      </w:pPr>
      <w:r>
        <w:rPr>
          <w:b/>
          <w:bCs/>
        </w:rPr>
        <w:t xml:space="preserve">Small-cap (~Rs 900-1,140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weak · valuation: no  (score 1.5 / 4)</w:t>
      </w:r>
    </w:p>
    <w:p>
      <w:pPr>
        <w:spacing w:after="120"/>
      </w:pPr>
      <w:r>
        <w:rPr>
          <w:i/>
          <w:iCs/>
          <w:color w:val="666666"/>
          <w:sz w:val="20"/>
          <w:szCs w:val="20"/>
        </w:rPr>
        <w:t xml:space="preserve">tailwind=weak (clean-label / China+1 caffeine demand is real but not sharply accelerating). tam=weak (niche global natural-caffeine market, ~Rs 900 Cr mcap already). moat=weak (scale claim, semi-commoditised product, customer/geography concentration). valuation=no (~45x earnings, expansion already priced). Score 1.5 -&gt; neither, hard.</w:t>
      </w:r>
    </w:p>
    <w:p>
      <w:pPr>
        <w:pStyle w:val="Heading1"/>
        <w:spacing w:after="120" w:before="280"/>
      </w:pPr>
      <w:r>
        <w:t xml:space="preserve">Verdict</w:t>
      </w:r>
    </w:p>
    <w:p>
      <w:pPr>
        <w:spacing w:after="120"/>
      </w:pPr>
      <w:r>
        <w:rPr>
          <w:b/>
          <w:bCs/>
          <w:sz w:val="24"/>
          <w:szCs w:val="24"/>
        </w:rPr>
        <w:t xml:space="preserve">Clean, profitable niche extractor mid-expansion, but a semi-commoditised export product at ~45x -- 'neither', conviction Low-Medium</w:t>
      </w:r>
    </w:p>
    <w:p>
      <w:pPr>
        <w:pStyle w:val="ListParagraph"/>
        <w:numPr>
          <w:ilvl w:val="0"/>
          <w:numId w:val="1"/>
        </w:numPr>
        <w:spacing w:after="60"/>
      </w:pPr>
      <w:r>
        <w:t xml:space="preserve">No live-theme match in the strict sense -- 'China-beating exporters' (priority-2) is directionally relevant (natural vs synthetic Chinese caffeine) but this was processed as an external lead, not a discovery theme hit.</w:t>
      </w:r>
    </w:p>
    <w:p>
      <w:pPr>
        <w:pStyle w:val="ListParagraph"/>
        <w:numPr>
          <w:ilvl w:val="0"/>
          <w:numId w:val="1"/>
        </w:numPr>
        <w:spacing w:after="60"/>
      </w:pPr>
      <w:r>
        <w:t xml:space="preserve">four_box score 1.5 -&gt; 'neither' (hard). tailwind weak (clean-label caffeine demand real but not an accelerating structural pull), tam weak (small global natural-caffeine niche, ~Rs 900 Cr mcap already), moat weak (capacity scale, not pricing power; concentration risk), valuation no (~45x on a tiny PAT). The small-cap live-inflection carve-out is noted -- the 3x expansion + backward integration is a genuine catalyst -- but it is unconfirmed and does not lift a 1.5 score out of a hard 'neither'.</w:t>
      </w:r>
    </w:p>
    <w:p>
      <w:pPr>
        <w:pStyle w:val="ListParagraph"/>
        <w:numPr>
          <w:ilvl w:val="0"/>
          <w:numId w:val="1"/>
        </w:numPr>
        <w:spacing w:after="60"/>
      </w:pPr>
      <w:r>
        <w:t xml:space="preserve">Conviction Low-Medium: a notch above Low for the clean balance sheet, good ROCE and a concrete capacity catalyst; capped there by size, valuation, concentration and the untrusted source. Re-check once expansion commissioning and utilisation show up in two-plus reported quarters.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2026-09-09T14:07:12.590Z</dcterms:created>
  <dcterms:modified xsi:type="dcterms:W3CDTF">2026-09-09T14:07:12.595Z</dcterms:modified>
</cp:coreProperties>
</file>

<file path=docProps/custom.xml><?xml version="1.0" encoding="utf-8"?>
<Properties xmlns="http://schemas.openxmlformats.org/officeDocument/2006/custom-properties" xmlns:vt="http://schemas.openxmlformats.org/officeDocument/2006/docPropsVTypes"/>
</file>